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14 naturvårdsarter, varav 5 är rödlistade, 6 är fridlysta, 7 är typiska (T) och 4 är signalarter (S): violgubbe (EN), knärot (VU, T, §8), kopparspindling (VU), fjällig taggsvamp s.str. (NT), orange taggsvamp (NT, T), kransrams (S, T), skogsknipprot (S, T, §8), svavelriska (S), tvåblad (S, §8),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kransrams (S, T), skogsknipprot (S, T, §8),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