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21006-2024 i Östhammars kommun</w:t>
      </w:r>
    </w:p>
    <w:p>
      <w:r>
        <w:t>Detta dokument behandlar höga naturvärden i avverkningsanmälan A 21006-2024 i Östhammars kommun. Denna avverkningsanmälan inkom 2024-05-27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20 naturvårdsarter hittats: aspfjädermossa (VU), brun lundlav (VU), ekpricklav (VU), gulvit blekspik (VU), mörk kraterlav (VU), skogskorn (VU), lunglav (NT), rödbrun blekspik (NT), skogssvingel (NT), bårdlav (S), guldlockmossa (S), myskmadra (S), platt fjädermossa (S), slät lönnlav (S), stenporella (S), strutbräken (S), svart trolldruva (S), trubbfjädermossa (S), vårärt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6127"/>
            <wp:docPr id="1" name="Picture 1"/>
            <wp:cNvGraphicFramePr>
              <a:graphicFrameLocks noChangeAspect="1"/>
            </wp:cNvGraphicFramePr>
            <a:graphic>
              <a:graphicData uri="http://schemas.openxmlformats.org/drawingml/2006/picture">
                <pic:pic>
                  <pic:nvPicPr>
                    <pic:cNvPr id="0" name="A 21006-2024 karta.png"/>
                    <pic:cNvPicPr/>
                  </pic:nvPicPr>
                  <pic:blipFill>
                    <a:blip r:embed="rId16"/>
                    <a:stretch>
                      <a:fillRect/>
                    </a:stretch>
                  </pic:blipFill>
                  <pic:spPr>
                    <a:xfrm>
                      <a:off x="0" y="0"/>
                      <a:ext cx="5486400" cy="326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6665162, E 683695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Brun lundlav (VU)</w:t>
      </w:r>
      <w:r>
        <w:t xml:space="preserve"> växer på slätbarkiga ädellövträd och på asp i blandad ädellövskog eller blandskog. Lokalerna har ofta lång trädkontinuitet och luftfuktigheten är hög. Arten hotas av skogsbruk samt av igenväxning p.g.a. minskad hävd. Även almsjukan och askskottssjukan utgör ett hot. Skydda åtminstone de rikligaste lokalerna. Öka hävden på igenvuxen mark och undvik produktionsinriktat skogsbruk på och i närheten av lokaler med arten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