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43982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4398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24 meter från avverkningsanmälan finns fynd av 39 naturvårdsarter, varav 16 är rödlistade, 12 är fridlysta, 22 är typiska (T) och 17 är signalarter (S): duvspindling (VU), gränsticka (VU, T), knärot (VU, T, §8), mörk kådsvartspik (VU), ringlav (VU), ulltickeporing (VU), fjällig taggsvamp s.str. (NT), kattfotslav (NT, T), mindre hackspett (NT, T, §4), rynkskinn (NT, T), sårläka (NT, T), talltita (NT, §4), ullticka (NT, T), vedskivlav (NT, T), vedtrappmossa (NT, T), äggspindling (NT), anisspindling (S), björksplintborre (S), bronshjon (S, T), granbarkgnagare (S, T), grovticka (S, T), grön sköldmossa (S, T, §8), grönpyrola (S, T), jättesvampmal (S), kalktallört (S), korallrot (S, T, §8), nästrot (S, §8), plattlummer (S, T, §9), stubbspretmossa (S, T), thomsons trägnagare (S), tvåblad (S, §8), vedticka (S, T), vågbandad barkbock (S), blåsippa (T, §9), kransmossa (T), kärrbräken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73 fyndplatser för knärot registrerade på Artportalen. Figur 2 visar gränserna för buffertzoner på 50 m, som behöver lämnas kring fyndplatserna för att knärotslokalerna inte ska försvinna vid en avverkning. Av det avverkningsanmälda området överlappar 17.63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mindre hackspett (NT, T, §4), rynkskinn (NT, T), sårläka (NT, T), ullticka (NT, T), vedskivlav (NT, T), vedtrappmossa (NT, T), bronshjon (S, T), granbarkgnagare (S, T), grovticka (S, T), grön sköldmossa (S, T, §8), grönpyrola (S, T), korallrot (S, T, §8), plattlummer (S, T, §9), stubbspretmossa (S, T), vedticka (S, T), blåsippa (T, §9), kransmossa (T), kärrbräken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