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39 naturvårdsarter, varav 18 är rödlistade, 8 är fridlysta, 26 är typiska (T) och 14 är signalarter (S): gul taggsvamp (VU, T), knärot (VU, T, §8), läderdoftande fingersvamp (VU), ostticka (VU, T), barrfagerspindling (NT), dofttaggsvamp (NT, T), fjällig taggsvamp s.str. (NT), gransotdyna (NT), motaggsvamp (NT, T), orange taggsvamp (NT, T), persiljespindling (NT), skarp dropptaggsvamp (NT), svartvit taggsvamp (NT), talltita (NT, §4), ullticka (NT, T), vedskivlav (NT, T), vedtrappmossa (NT, T), vårärt (NT, T), brandticka (S), bronshjon (S, T), granbarkgnagare (S, T), grön sköldmossa (S, T, §8), grönpyrola (S, T), korallblylav (S, T), olivspindling (S), rödgul trumpetsvamp (S), skinnlav (S, T), skogsknipprot (S, T, §8), stubbspretmossa (S, T), svavelriska (S), tibast (S, T), vedticka (S, T), blåsippa (T, §9), brudborste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