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28392-2026 i Östhammars kommun</w:t>
      </w:r>
    </w:p>
    <w:p>
      <w:r>
        <w:t>Detta klagomål behandlar höga naturvärden i avverkningsanmälan A 28392-2026 i Östhammars kommun som inkom 2026-06-23 och omfattar 34,4 ha.</w:t>
      </w:r>
    </w:p>
    <w:p>
      <w:pPr>
        <w:pStyle w:val="Caption"/>
      </w:pPr>
      <w:r>
        <w:drawing>
          <wp:inline xmlns:a="http://schemas.openxmlformats.org/drawingml/2006/main" xmlns:pic="http://schemas.openxmlformats.org/drawingml/2006/picture">
            <wp:extent cx="5486400" cy="4986779"/>
            <wp:docPr id="1" name="Picture 1"/>
            <wp:cNvGraphicFramePr>
              <a:graphicFrameLocks noChangeAspect="1"/>
            </wp:cNvGraphicFramePr>
            <a:graphic>
              <a:graphicData uri="http://schemas.openxmlformats.org/drawingml/2006/picture">
                <pic:pic>
                  <pic:nvPicPr>
                    <pic:cNvPr id="0" name="A 28392-2026 karta.png"/>
                    <pic:cNvPicPr/>
                  </pic:nvPicPr>
                  <pic:blipFill>
                    <a:blip r:embed="rId16"/>
                    <a:stretch>
                      <a:fillRect/>
                    </a:stretch>
                  </pic:blipFill>
                  <pic:spPr>
                    <a:xfrm>
                      <a:off x="0" y="0"/>
                      <a:ext cx="5486400" cy="498677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6687100, E 699890 i SWEREF 99 TM.</w:t>
      </w:r>
    </w:p>
    <w:p>
      <w:r>
        <w:t>I och inom 6 meter från avverkningsanmälan finns fynd av 19 naturvårdsarter, varav 6 är rödlistade, 7 är fridlysta, 13 är typiska (T) och 8 är signalarter (S): knärot (VU, T, §8), kattfotslav (NT, T), rynkskinn (NT, T), sårläka (NT, T), ullticka (NT, T), vedtrappmossa (NT, T), björksplintborre (S), bronshjon (S, T), granbarkgnagare (S, T), grönpyrola (S, T), nästrot (S, §8), stubbspretmossa (S, T), tvåblad (S, §8), vågbandad barkbock (S), blåsippa (T, §9), kransmossa (T), spillkråka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13.72 ha med buffertzonerna och får av detta skäl inte avverkas.</w:t>
      </w:r>
    </w:p>
    <w:p>
      <w:pPr>
        <w:pStyle w:val="Caption"/>
      </w:pPr>
      <w:r>
        <w:drawing>
          <wp:inline xmlns:a="http://schemas.openxmlformats.org/drawingml/2006/main" xmlns:pic="http://schemas.openxmlformats.org/drawingml/2006/picture">
            <wp:extent cx="5486400" cy="4730370"/>
            <wp:docPr id="2" name="Picture 2"/>
            <wp:cNvGraphicFramePr>
              <a:graphicFrameLocks noChangeAspect="1"/>
            </wp:cNvGraphicFramePr>
            <a:graphic>
              <a:graphicData uri="http://schemas.openxmlformats.org/drawingml/2006/picture">
                <pic:pic>
                  <pic:nvPicPr>
                    <pic:cNvPr id="0" name="A 28392-2026 karta knärot.png"/>
                    <pic:cNvPicPr/>
                  </pic:nvPicPr>
                  <pic:blipFill>
                    <a:blip r:embed="rId17"/>
                    <a:stretch>
                      <a:fillRect/>
                    </a:stretch>
                  </pic:blipFill>
                  <pic:spPr>
                    <a:xfrm>
                      <a:off x="0" y="0"/>
                      <a:ext cx="5486400" cy="47303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6687100, E 699890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