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klagomål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38 naturvårdsarter, varav 13 är rödlistade, 9 är fridlysta, 24 är typiska (T) och 16 är signalarter (S): garnlav (VU, T), gyllenspindling (VU), fjällig taggsvamp s.str. (NT), gultoppig fingersvamp (NT), kandelabersvamp (NT, T), kattfotslav (NT, T), persiljespindling (NT), rynkskinn (NT, T), skarp dropptaggsvamp (NT), sårläka (NT, T), talltita (NT, §4), ullticka (NT, T), vårärt (NT, T), brandticka (S), bronshjon (S, T), bårdlav (S, T), dvärgtufs (S), granbarkgnagare (S, T), grön sköldmossa (S, T, §8), kamjordstjärna (S), korallblylav (S, T), olivspindling (S), rävticka (S, T), skinnlav (S, T), stor aspticka (S, T), stubbspretmossa (S, T), svavelriska (S), tibast (S, T), vätteros (S, T), blåsippa (T, §9), kransmossa (T), ormbär (T), spillkråka (T, §4), tjäder (T, §4), tofsmes (T, §4),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