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4491-2023 i Östhammars kommun</w:t>
      </w:r>
    </w:p>
    <w:p>
      <w:r>
        <w:t>Detta klagomål behandlar höga naturvärden i samrådsanmälan S 4491-2023 i Östhammars kommun som inkom 2023-12-14 och omfattar 1,8 ha.</w:t>
      </w:r>
    </w:p>
    <w:p>
      <w:pPr>
        <w:pStyle w:val="Caption"/>
      </w:pPr>
      <w:r>
        <w:drawing>
          <wp:inline xmlns:a="http://schemas.openxmlformats.org/drawingml/2006/main" xmlns:pic="http://schemas.openxmlformats.org/drawingml/2006/picture">
            <wp:extent cx="5450586" cy="5724000"/>
            <wp:docPr id="1" name="Picture 1"/>
            <wp:cNvGraphicFramePr>
              <a:graphicFrameLocks noChangeAspect="1"/>
            </wp:cNvGraphicFramePr>
            <a:graphic>
              <a:graphicData uri="http://schemas.openxmlformats.org/drawingml/2006/picture">
                <pic:pic>
                  <pic:nvPicPr>
                    <pic:cNvPr id="0" name="S 4491-2023 karta.png"/>
                    <pic:cNvPicPr/>
                  </pic:nvPicPr>
                  <pic:blipFill>
                    <a:blip r:embed="rId16"/>
                    <a:stretch>
                      <a:fillRect/>
                    </a:stretch>
                  </pic:blipFill>
                  <pic:spPr>
                    <a:xfrm>
                      <a:off x="0" y="0"/>
                      <a:ext cx="5450586" cy="5724000"/>
                    </a:xfrm>
                    <a:prstGeom prst="rect"/>
                  </pic:spPr>
                </pic:pic>
              </a:graphicData>
            </a:graphic>
          </wp:inline>
        </w:drawing>
      </w:r>
    </w:p>
    <w:p>
      <w:pPr>
        <w:pStyle w:val="Caption"/>
        <w:spacing w:after="240"/>
      </w:pPr>
      <w:r>
        <w:t>Figur 1. Fyndplatser för naturvårdsarter i och inom 25 meter från samrådsanmälan. Markörer utan svart kant är placerade på fyndplatsen. Markörer med svart kant är placerade vid sidan av fyndplatsen och har ett svart streck som visar fyndplatsens exakta position. Kartans mittpunktskoordinat är N 6669904, E 687763 i SWEREF 99 TM.</w:t>
      </w:r>
    </w:p>
    <w:p>
      <w:r>
        <w:t>I och inom 25 meter från samrådsanmälan finns fynd av 3 naturvårdsarter, varav 2 är rödlistade, 1 är typisk (T) och 1 är signalart (S): violgubbe (EN), fjällig taggsvamp s.str. (NT) och stor aspticka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Violgubbe (EN)</w:t>
      </w:r>
      <w:r>
        <w:t xml:space="preserve"> är en starkt hotad art som bildar mykorrhiza med gran och bok och ev. andra trädslag i äldre ängsgran- och ängsbokskog med lång kontinuitet, främst på kalkrik mark. Arten är placerad högst upp i Skogsstyrelsens värdepyramid för bedömning av skog med höga naturvärden och indikerar alltid skogsområden med höga naturvärden. Det största hotet mot arten är skogsavverkning och den omfattas av ett åtgärdsprogram för hotade arter (ÅGP). Violgubben överlever inte en slutavverkning och verkar dessutom ha svårt att etablera sig i yngre skogsbestånd (SLU Artdatabanken, 2026; Nitare &amp; Skogsstyrelsen, 2019; Aronsson, 2006).</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