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19252-2026 i Östhammars kommun</w:t>
      </w:r>
    </w:p>
    <w:p>
      <w:r>
        <w:t>Denna tillsynsbegäran behandlar höga naturvärden i avverkningsanmälan A 19252-2026 i Östhammars kommun som inkom 2026-04-20 och omfattar 10,0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19252-2026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6691731, E 668070 i SWEREF 99 TM.</w:t>
      </w:r>
    </w:p>
    <w:p>
      <w:r>
        <w:t>I och inom 23 meter från avverkningsanmälan finns fynd av 20 naturvårdsarter, varav 11 är rödlistade, 4 är fridlysta, 14 är typiska (T) och 6 är signalarter (S): garnlav (VU, T), dofttaggsvamp (NT, T), dropptaggsvamp (NT, T), gammelgransskål (NT, T), kattfotslav (NT, T), kötticka (NT), motaggsvamp (NT, T), skarp dropptaggsvamp (NT), talltita (NT, §4), ullticka (NT, T), vedskivlav (NT, T), bronshjon (S, T), granbarkgnagare (S, T), grönpyrola (S, T), rödgul trumpetsvamp (S), svavelriska (S), vedticka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dofttaggsvamp (NT, T), dropptaggsvamp (NT, T), gammelgransskål (NT, T), kattfotslav (NT, T), motaggsvamp (NT, T), ullticka (NT, T), vedskivlav (NT, T), bronshjon (S, T), granbarkgnagare (S, T), grönpyrola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