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15 meter från avverkningsanmälan finns fynd av 15 naturvårdsarter, varav 6 är rödlistade, 2 är fridlysta, 6 är typiska (T) och 6 är signalarter (S): duvspindling (VU), kopparspindling (VU), fjällig taggsvamp s.str. (NT), gultoppig fingersvamp (NT), skarp dropptaggsvamp (NT), vårärt (NT, T), anisspindling (S), diskvaxskivling (S), granbarkgnagare (S, T), olivspindling (S), skogsknipprot (S, T, §8), svavelriska (S), blåsippa (T, §9),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granbarkgnagare (S, T), skogsknipprot (S, T, §8),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