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1944-2026 i Östhammars kommun</w:t>
      </w:r>
    </w:p>
    <w:p>
      <w:r>
        <w:t>Denna tillsynsbegäran behandlar höga naturvärden i samrådsanmälan S 1944-2026 i Östhammars kommun som inkom 2026-07-01 och omfattar 16,2 ha.</w:t>
      </w:r>
    </w:p>
    <w:p>
      <w:pPr>
        <w:pStyle w:val="Caption"/>
      </w:pPr>
      <w:r>
        <w:drawing>
          <wp:inline xmlns:a="http://schemas.openxmlformats.org/drawingml/2006/main" xmlns:pic="http://schemas.openxmlformats.org/drawingml/2006/picture">
            <wp:extent cx="5182589" cy="5724000"/>
            <wp:docPr id="1" name="Picture 1"/>
            <wp:cNvGraphicFramePr>
              <a:graphicFrameLocks noChangeAspect="1"/>
            </wp:cNvGraphicFramePr>
            <a:graphic>
              <a:graphicData uri="http://schemas.openxmlformats.org/drawingml/2006/picture">
                <pic:pic>
                  <pic:nvPicPr>
                    <pic:cNvPr id="0" name="S 1944-2026 karta.png"/>
                    <pic:cNvPicPr/>
                  </pic:nvPicPr>
                  <pic:blipFill>
                    <a:blip r:embed="rId16"/>
                    <a:stretch>
                      <a:fillRect/>
                    </a:stretch>
                  </pic:blipFill>
                  <pic:spPr>
                    <a:xfrm>
                      <a:off x="0" y="0"/>
                      <a:ext cx="5182589"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6685342, E 683460 i SWEREF 99 TM.</w:t>
      </w:r>
    </w:p>
    <w:p>
      <w:r>
        <w:t>I och inom 24 meter från samrådsanmälan finns fynd av 62 naturvårdsarter, varav 39 är rödlistade, 6 är fridlysta, 15 är typiska (T) och 21 är signalarter (S): bitter taggsvamp (EN), brandtaggsvamp (EN), fjällfotad fingersvamp (EN), gyllenfingersvamp (EN), koppartaggsvamp (EN), lilafotad fingersvamp (EN), raggtaggsvamp (EN), violgubbe (EN), bullspindling (VU), fläckfingersvamp (VU), grangråticka (VU, T), granrotspindling (VU), gul lammticka (VU), gul taggsvamp (VU, T), gyllenspindling (VU), kopparspindling (VU), kryddtofsskivling (VU), läderdoftande fingersvamp (VU), skrovlig taggsvamp (VU), taggfingersvamp (VU), barrmusseron (NT), barrviolspindling (NT), blek fingersvamp (NT), blå taggsvamp (NT, T), dofttaggsvamp (NT, T), dropptaggsvamp (NT, T), fjällig taggsvamp s.str. (NT), flattoppad klubbsvamp (NT), gransotdyna (NT), gultoppig fingersvamp (NT), harticka (NT, T), kryddspindling (NT, T), kungsspindling (NT), orange taggsvamp (NT, T), persiljespindling (NT), puderspindling (NT), skarp dropptaggsvamp (NT), sotvaxskivling (NT), äggspindling (NT), anisspindling (S), blodvaxing (S), brandmusseron (S), brandticka (S), dofttråding (S), granbarkgnagare (S, T), guldkremla (S), kalktallört (S), kamjordstjärna (S), mörk husmossa (S, T), nästrot (S, §8), olivspindling (S), rödgul trumpetsvamp (S), skogsknipprot (S, T, §8), spindelblomster (S, T, §8), svavelriska (S), tibast (S, T), trådticka (S, T), tvåblad (S, §8), zontaggsvamp (S), ögonpyrola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Lilafotad fingersvamp (EN) </w:t>
      </w:r>
      <w:r>
        <w:t>är en mycket sällsynt och starkt hotad ”toppart” som bildar mykorrhiza med gran i äldre örtrik skog på kalkrik mark. Karaktäristiskt för arten är att övre delen av foten får fläckar (eller ett gördelband) med blåviolett färg. Den hotas främst av avverkning och andra skogsbruksåtgärder, eller någon annan form av exploatering och tål inte en slutavverkning eller hård gallring. Lilafotad fingersvamp</w:t>
      </w:r>
      <w:r>
        <w:rPr>
          <w:b/>
        </w:rPr>
        <w:t xml:space="preserve"> </w:t>
      </w:r>
      <w:r>
        <w:t>är placerad högst upp i Skogsstyrelsens värdepyramid för bedömning av skog med höga naturvärden och artens lokaler bör skyddas och undantas från rationellt skogsbruk (SLU Artdatabanken, 2024; Nitare &amp; Skogsstyrelsen, 2019).</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Kryddtofsskivling (VU)</w:t>
      </w:r>
      <w:r>
        <w:t xml:space="preserve"> växer på ved av lövträd och de svenska fynden har gjorts på döda eller skadade stammar av björk, asp och sälg. Avverkning av värdträden och bortgallring av gamla lövträd på artens växtplatser är påtagliga hot. Kända lokaler måste besökas för att utröna om arten finns kvar där. Återfinns den måste de träd den växer på skyddas på något sätt för att undgå avverkning. Omgivande bestånd bör skötas så att svampen får goda spridningsmöjligheter. Lövbestånd i branter, raviner och på andra klimatiskt gynnade platser, som kan utgöra framtida växtlokaler för kryddtofsskivling och andra rödlistade arter, skall i möjligaste mån lämnas för fri utveckling. Kryddtofsskivling är snarlik fjällig tofsskivling </w:t>
      </w:r>
      <w:r>
        <w:rPr>
          <w:i/>
        </w:rPr>
        <w:t>Pholiota squarrosa</w:t>
      </w:r>
      <w:r>
        <w:t>, som är en vanlig och välkänd art. Den skiljer sig främst genom att hatten är tydligt klibbig i fuktigt väder och att den har en stark, kryddartad lukt (SLU Artdatabanken, 2025).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grangråticka (VU, T), gul taggsvamp (VU, T), blå taggsvamp (NT, T), dofttaggsvamp (NT, T), dropptaggsvamp (NT, T), harticka (NT, T), kryddspindling (NT, T), orange taggsvamp (NT, T), granbarkgnagare (S, T), mörk husmossa (S, T), skogsknipprot (S, T, §8), spindelblomster (S, T, §8), tibast (S, T), trådticka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