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24606-2024 i Östhammars kommun</w:t>
      </w:r>
    </w:p>
    <w:p>
      <w:r>
        <w:t>Denna tillsynsbegäran behandlar höga naturvärden i avverkningsanmälan A 24606-2024 i Östhammars kommun som inkom 2024-06-17 och omfattar 2,9 ha.</w:t>
      </w:r>
    </w:p>
    <w:p>
      <w:pPr>
        <w:pStyle w:val="Caption"/>
      </w:pPr>
      <w:r>
        <w:drawing>
          <wp:inline xmlns:a="http://schemas.openxmlformats.org/drawingml/2006/main" xmlns:pic="http://schemas.openxmlformats.org/drawingml/2006/picture">
            <wp:extent cx="5486400" cy="5495827"/>
            <wp:docPr id="1" name="Picture 1"/>
            <wp:cNvGraphicFramePr>
              <a:graphicFrameLocks noChangeAspect="1"/>
            </wp:cNvGraphicFramePr>
            <a:graphic>
              <a:graphicData uri="http://schemas.openxmlformats.org/drawingml/2006/picture">
                <pic:pic>
                  <pic:nvPicPr>
                    <pic:cNvPr id="0" name="A 24606-2024 karta.png"/>
                    <pic:cNvPicPr/>
                  </pic:nvPicPr>
                  <pic:blipFill>
                    <a:blip r:embed="rId16"/>
                    <a:stretch>
                      <a:fillRect/>
                    </a:stretch>
                  </pic:blipFill>
                  <pic:spPr>
                    <a:xfrm>
                      <a:off x="0" y="0"/>
                      <a:ext cx="5486400" cy="549582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6677619, E 661537 i SWEREF 99 TM.</w:t>
      </w:r>
    </w:p>
    <w:p>
      <w:r>
        <w:t>Inom 24 meter från avverkningsanmälan finns fynd av 3 naturvårdsarter, varav 2 är rödlistade, 1 är typisk (T) och 1 är signalart (S): violgubbe (EN), dofttaggsvamp (NT, T) och zontaggsvamp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