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15 meter från avverkningsanmälan finns fynd av 15 naturvårdsarter, varav 6 är rödlistade, 2 är fridlysta, 6 är typiska (T) och 6 är signalarter (S): duvspindling (VU), kopparspindling (VU), fjällig taggsvamp s.str. (NT), gultoppig fingersvamp (NT), skarp dropptaggsvamp (NT), vårärt (NT, T), anisspindling (S), diskvaxskivling (S), granbarkgnagare (S, T), olivspindling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granbarkgnagare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