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21 naturvårdsarter, varav 7 är rödlistade, 18 är fridlysta, 1 är typisk (T) och 3 är signalarter (S): gråtrut (VU, §4), grönsångare (NT, §4), gulsparv (NT, §4), majviva (NT), rödvingetrast (NT, §4), solvända (NT), önästing (NT), flugblomster (S, §8),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