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6692556, E 669190 i SWEREF 99 TM.</w:t>
      </w:r>
    </w:p>
    <w:p>
      <w:r>
        <w:t>I och inom 24 meter från avverkningsanmälan finns fynd av 38 naturvårdsarter, varav 13 är rödlistade, 9 är fridlysta, 24 är typiska (T) och 16 är signalarter (S): garnlav (VU, T), gyllenspindling (VU), fjällig taggsvamp s.str. (NT), gultoppig fingersvamp (NT), kandelabersvamp (NT, T), kattfotslav (NT, T), persiljespindling (NT), rynkskinn (NT, T), skarp dropptaggsvamp (NT), sårläka (NT, T), talltita (NT, §4), ullticka (NT, T), vårärt (NT, T), brandticka (S), bronshjon (S, T), bårdlav (S, T), dvärgtufs (S), granbarkgnagare (S, T), grön sköldmossa (S, T, §8), kamjordstjärna (S), korallblylav (S, T), olivspindling (S), rävticka (S, T), skinnlav (S, T), stor aspticka (S, T), stubbspretmossa (S, T), svavelriska (S),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