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36 naturvårdsarter, varav 15 är rödlistade, 8 är fridlysta, 26 är typiska (T) och 14 är signalarter (S): gul taggsvamp (VU, T), knärot (VU, T, §8), läderdoftande fingersvamp (VU), ostticka (VU, T), dofttaggsvamp (NT, T), fjällig taggsvamp s.str. (NT), motaggsvamp (NT, T), orange taggsvamp (NT, 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ullticka (NT, T), vedskivlav (NT, T), vedtrappmossa (NT, T), vårärt (NT, T), bronshjon (S, T), granbarkgnagare (S, T), grön sköldmossa (S, T, §8), grönpyrola (S, T), korallblylav (S, T), skinnlav (S, T), skogsknipprot (S, T, §8), stubbspretmossa (S, T), tibast (S, T), vedticka (S, T), blåsippa (T, §9), brudborste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