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28392-2026 i Östhammars kommun</w:t>
      </w:r>
    </w:p>
    <w:p>
      <w:r>
        <w:t>Detta klagomål behandlar höga naturvärden i avverkningsanmälan A 28392-2026 i Östhammars kommun som inkom 2026-06-23 och omfattar 34,4 ha.</w:t>
      </w:r>
    </w:p>
    <w:p>
      <w:pPr>
        <w:pStyle w:val="Caption"/>
      </w:pPr>
      <w:r>
        <w:drawing>
          <wp:inline xmlns:a="http://schemas.openxmlformats.org/drawingml/2006/main" xmlns:pic="http://schemas.openxmlformats.org/drawingml/2006/picture">
            <wp:extent cx="5486400" cy="5439820"/>
            <wp:docPr id="1" name="Picture 1"/>
            <wp:cNvGraphicFramePr>
              <a:graphicFrameLocks noChangeAspect="1"/>
            </wp:cNvGraphicFramePr>
            <a:graphic>
              <a:graphicData uri="http://schemas.openxmlformats.org/drawingml/2006/picture">
                <pic:pic>
                  <pic:nvPicPr>
                    <pic:cNvPr id="0" name="A 28392-2026 karta.png"/>
                    <pic:cNvPicPr/>
                  </pic:nvPicPr>
                  <pic:blipFill>
                    <a:blip r:embed="rId16"/>
                    <a:stretch>
                      <a:fillRect/>
                    </a:stretch>
                  </pic:blipFill>
                  <pic:spPr>
                    <a:xfrm>
                      <a:off x="0" y="0"/>
                      <a:ext cx="5486400" cy="543982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6687100, E 699890 i SWEREF 99 TM.</w:t>
      </w:r>
    </w:p>
    <w:p>
      <w:r>
        <w:t>I och inom 24 meter från avverkningsanmälan finns fynd av 39 naturvårdsarter, varav 16 är rödlistade, 12 är fridlysta, 22 är typiska (T) och 17 är signalarter (S): duvspindling (VU), gränsticka (VU, T), knärot (VU, T, §8), mörk kådsvartspik (VU), ringlav (VU), ulltickeporing (VU), fjällig taggsvamp s.str. (NT), kattfotslav (NT, T), mindre hackspett (NT, T, §4), rynkskinn (NT, T), sårläka (NT, T), talltita (NT, §4), ullticka (NT, T), vedskivlav (NT, T), vedtrappmossa (NT, T), äggspindling (NT), anisspindling (S), björksplintborre (S), bronshjon (S, T), granbarkgnagare (S, T), grovticka (S, T), grön sköldmossa (S, T, §8), grönpyrola (S, T), jättesvampmal (S), kalktallört (S), korallrot (S, T, §8), nästrot (S, §8), plattlummer (S, T, §9), stubbspretmossa (S, T), thomsons trägnagare (S), tvåblad (S, §8), vedticka (S, T), vågbandad barkbock (S), blåsippa (T, §9), kransmossa (T), kärrbräken (T), spillkråka (T, §4), fläcknycklar (§8) och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Duvspindling (VU)</w:t>
      </w:r>
      <w:r>
        <w:t xml:space="preserve"> bildar mykorrhiza med tall och förmodligen även gran i torr, kalkrik barrskog. Arten är placerad högst upp i Skogsstyrelsens värdepyramid för bedömning av skog med höga naturvärden och utgör en mycket bra indikator på skyddsvärd kalktallskog av sydöstlig typ. Kalavverkning, markberedning och markavvattning utgör de främsta hoten (SLU Artdatabanken, 2024; Nitare &amp; Skogsstyrelsen, 2019).</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73 fyndplatser för knärot registrerade på Artportalen. Figur 2 visar gränserna för buffertzoner på 50 m, som behöver lämnas kring fyndplatserna för att knärotslokalerna inte ska försvinna vid en avverkning. Av det avverkningsanmälda området överlappar 17.63 ha med buffertzonerna och får av detta skäl inte avverkas.</w:t>
      </w:r>
    </w:p>
    <w:p>
      <w:pPr>
        <w:pStyle w:val="Caption"/>
      </w:pPr>
      <w:r>
        <w:drawing>
          <wp:inline xmlns:a="http://schemas.openxmlformats.org/drawingml/2006/main" xmlns:pic="http://schemas.openxmlformats.org/drawingml/2006/picture">
            <wp:extent cx="5486400" cy="4730370"/>
            <wp:docPr id="2" name="Picture 2"/>
            <wp:cNvGraphicFramePr>
              <a:graphicFrameLocks noChangeAspect="1"/>
            </wp:cNvGraphicFramePr>
            <a:graphic>
              <a:graphicData uri="http://schemas.openxmlformats.org/drawingml/2006/picture">
                <pic:pic>
                  <pic:nvPicPr>
                    <pic:cNvPr id="0" name="A 28392-2026 karta knärot.png"/>
                    <pic:cNvPicPr/>
                  </pic:nvPicPr>
                  <pic:blipFill>
                    <a:blip r:embed="rId17"/>
                    <a:stretch>
                      <a:fillRect/>
                    </a:stretch>
                  </pic:blipFill>
                  <pic:spPr>
                    <a:xfrm>
                      <a:off x="0" y="0"/>
                      <a:ext cx="5486400" cy="473037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6687100, E 699890 i SWEREF 99 TM.</w:t>
      </w:r>
    </w:p>
    <w:p>
      <w:r>
        <w:rPr>
          <w:b/>
        </w:rPr>
        <w:t xml:space="preserve">Mörk kådsvartspik (VU) </w:t>
      </w:r>
      <w:r>
        <w:t>växer på gammal grankåda i halvöppna barrskogar av naturskogskaraktär med hög och jämn luftfuktighet. Skogsbruksåtgärder som kan påverka markvattennivån och luftfuktigheten negativt på växtplatserna utgör hot. Nybildning av för arten lämpliga substrat i produktionsskogar är sannolikt mycket begränsad och på lång sikt utgör avverkningar av variationsrika och olikåldriga naturskogar med hög och jämn luftfuktighet ett allvarligt hot. Då populationen på varje lokal är liten innebär det en risk för att arten ska försvinna från en enskild lokal p.g.a. slumpfaktorer. Lokaler med mörk kådsvartspik bör undantas från skogsbruksåtgärder (SLU Artdatabanken, 2026).</w:t>
      </w:r>
    </w:p>
    <w:p>
      <w:r>
        <w:rPr>
          <w:b/>
        </w:rPr>
        <w:t>Ringlav (VU)</w:t>
      </w:r>
      <w:r>
        <w:t>, rödlistad som sårbar, växer oftast på gran och tall i brandrefugiala halvöppna skogar med hög och jämn luftfuktighet. Under de senaste 50 åren har minskningstakten uppgått till 30 (20–40) %. Hur mycket den kommer att minska i framtiden beror på vad som kommer att ske med de stora förekomster som hittats men som ännu saknar skydd. Arten, som är placerad i toppen på Skogsstyrelsen värdepyramid för bedömning av skog med höga naturvärden, är ytterst känslig för förändringar i mikroklimatet och den överlever inte i skogsbestånd som gränsar till kalhyggen. Lavens förekomster tillsammans med väl tilltagna skyddszoner måste skyddas och undantas från produktionsinriktat skogsbruk (SLU Artdatabanken, 2024; Nitare &amp; Skogsstyrelsen, 2019).</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Äggspindling (NT) </w:t>
      </w:r>
      <w:r>
        <w:t>bildar mykorrhiza med gran i äldre ängsgranskog på kalkrik mark och kräver sannolikt lång kontinuitet av äldre träd. Arten bedöms ha minskat med mer än 15 % över de senaste 50 åren, p.g.a. slutavverkning av äldre skog och minskningstakten för den svenska populationen bedöms vara nära gränsvärdet för Sårbar (VU). (A2c+3c+4c). På artens växtplatser måste skogsbruk ske med stor försiktighet eftersom de ofta innehåller ett stort antal sällsynta och hotade arter. Lokaler med rika förekomster bör betraktas som nyckelbiotoper och helt undantas från avverkning. Äggspindling är globalt rödlistad som nära hotad (NT) vilket innebär att Sverige har ett internationellt ansvar för arten (SLU Artdatabanken, 2024; Nitare &amp; Skogsstyrelsen, 2019; IUCN, 2019).</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 xml:space="preserve">Kärrbräken </w:t>
      </w:r>
      <w:r>
        <w:t xml:space="preserve">är typisk art för </w:t>
      </w:r>
      <w:r>
        <w:rPr>
          <w:i/>
        </w:rPr>
        <w:t xml:space="preserve">9080 Lövsumpskog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33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39 naturvårdsarter varav 16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