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29556-2023 i Östhammars kommun</w:t>
      </w:r>
    </w:p>
    <w:p>
      <w:r>
        <w:t>Detta klagomål behandlar höga naturvärden i avverkningsanmälan A 29556-2023 i Östhammars kommun som inkom 2023-06-29 och omfattar 13,3 ha.</w:t>
      </w:r>
    </w:p>
    <w:p>
      <w:pPr>
        <w:pStyle w:val="Caption"/>
      </w:pPr>
      <w:r>
        <w:drawing>
          <wp:inline xmlns:a="http://schemas.openxmlformats.org/drawingml/2006/main" xmlns:pic="http://schemas.openxmlformats.org/drawingml/2006/picture">
            <wp:extent cx="5486400" cy="4615738"/>
            <wp:docPr id="1" name="Picture 1"/>
            <wp:cNvGraphicFramePr>
              <a:graphicFrameLocks noChangeAspect="1"/>
            </wp:cNvGraphicFramePr>
            <a:graphic>
              <a:graphicData uri="http://schemas.openxmlformats.org/drawingml/2006/picture">
                <pic:pic>
                  <pic:nvPicPr>
                    <pic:cNvPr id="0" name="A 29556-2023 karta.png"/>
                    <pic:cNvPicPr/>
                  </pic:nvPicPr>
                  <pic:blipFill>
                    <a:blip r:embed="rId16"/>
                    <a:stretch>
                      <a:fillRect/>
                    </a:stretch>
                  </pic:blipFill>
                  <pic:spPr>
                    <a:xfrm>
                      <a:off x="0" y="0"/>
                      <a:ext cx="5486400" cy="4615738"/>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6696605, E 668383 i SWEREF 99 TM.</w:t>
      </w:r>
    </w:p>
    <w:p>
      <w:r>
        <w:t>I och inom 25 meter från avverkningsanmälan finns fynd av 52 naturvårdsarter, varav 26 är rödlistade, 17 är fridlysta, 25 är typiska (T) och 13 är signalarter (S): gyllenfingersvamp (EN), mandarinfingersvamp (EN), garnlav (VU, T), grangråticka (VU, T), knärot (VU, T, §8), läderdoftande fingersvamp (VU), ringlav (VU), smultronkantarell (VU), blek fingersvamp (NT), denisespindling (NT), dofttaggsvamp (NT, T), fjällig taggsvamp s.str. (NT), kattfotslav (NT, T), mindre hackspett (NT, T, §4), motaggsvamp (NT, T), odörspindling (NT), Phellodon dititomentosus (NT), rosenticka (NT, T), rynkskinn (NT, T), skarp dropptaggsvamp (NT), sotvaxskivling (NT), talltita (NT, §4), ullticka (NT, T), vedtrappmossa (NT, T), vårärt (NT, T), älg (NT), anisspindling (S), bronshjon (S, T), granbarkgnagare (S, T), grön sköldmossa (S, T, §8), grönpyrola (S, T), olivspindling (S), rödgul trumpetsvamp (S), skogsknipprot (S, T, §8), stubbspretmossa (S, T), svavelriska (S), tibast (S, T), toppvaxing (S), vedticka (S, T), blåsippa (T, §9), järpe (T, §4), kransmossa (T), spillkråka (T, §4), tjäder (T, §4), gröngöling (§4), kungsfågel (§4), vanlig groda (§6), vanlig padda (§6), fläcknycklar (§8), nattviol (§8), gullviva (§9)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Gyllenfingersvamp (EN) </w:t>
      </w:r>
      <w:r>
        <w:t>är en sällsynt och starkt hotad svamp som</w:t>
      </w:r>
      <w:r>
        <w:rPr>
          <w:b/>
        </w:rPr>
        <w:t xml:space="preserve"> </w:t>
      </w:r>
      <w:r>
        <w:t>bildar mykorrhiza med gran, i granskog på rikare mark, framförallt i kalkbarrskogar, ofta i samma växtmiljö som violgubbe.</w:t>
      </w:r>
      <w:r>
        <w:rPr>
          <w:b/>
        </w:rPr>
        <w:t xml:space="preserve"> </w:t>
      </w:r>
      <w:r>
        <w:t>Som naturvårdsindikator är gyllenfingersvamp en ”toppart”. Den är mycket känslig för skogsbruksåtgärder och är aldrig påträffad i sekundärskog. Artens koppling till produktiva äldre granskogar med hög bonitet gör den särskilt utsatt för slutavverkning. Total population i landet bedöms ha minskat kraftigt och fortsatt minska, huvudsakligen p.g.a. slutavverkningar av äldre kontinuitetsskog. Samtliga lokaler bör undantas från rationellt skogsbruk och kalkbarrskogar med gyllenfingersvamp bör få områdesskydd. Arten är placerad högst upp i Skogsstyrelsens värdepyramid för bedömning av skog med höga naturvärden (SLU Artdatabanken, 2026; Nitare &amp; Skogsstyrelsen, 2019).</w:t>
      </w:r>
    </w:p>
    <w:p>
      <w:r>
        <w:rPr>
          <w:b/>
        </w:rPr>
        <w:t xml:space="preserve">Mandarinfingersvamp (EN) </w:t>
      </w:r>
      <w:r>
        <w:t>är en mycket sällsynt och starkt hotad svamp som bildar mykorrhiza med gran i äldre kalkbarrskog. Den totala populationen i landet är liten, har minskat och bedöms fortsätta minska till följd av avverkning av kalkbarrskogar. All form av hårdhänt skogsavverkning på eller i närheten av växtplatsen missgynnar arten och det finns inga indikationer på att arten långsiktigt kan etablera eller reproducera sig i skogsbestånd som brukas med trakthyggesmetoder, markberedning, gödsling eller föryngring med förädlat plantmaterial. Mandarinfingersvamp är känd från mycket få växtplatser vilka bör erhålla individuellt anpassade områdesskydd (SLU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1.71 ha med buffertzonerna och får av detta skäl inte avverkas.</w:t>
      </w:r>
    </w:p>
    <w:p>
      <w:pPr>
        <w:pStyle w:val="Caption"/>
      </w:pPr>
      <w:r>
        <w:drawing>
          <wp:inline xmlns:a="http://schemas.openxmlformats.org/drawingml/2006/main" xmlns:pic="http://schemas.openxmlformats.org/drawingml/2006/picture">
            <wp:extent cx="5486400" cy="5861022"/>
            <wp:docPr id="2" name="Picture 2"/>
            <wp:cNvGraphicFramePr>
              <a:graphicFrameLocks noChangeAspect="1"/>
            </wp:cNvGraphicFramePr>
            <a:graphic>
              <a:graphicData uri="http://schemas.openxmlformats.org/drawingml/2006/picture">
                <pic:pic>
                  <pic:nvPicPr>
                    <pic:cNvPr id="0" name="A 29556-2023 karta knärot.png"/>
                    <pic:cNvPicPr/>
                  </pic:nvPicPr>
                  <pic:blipFill>
                    <a:blip r:embed="rId17"/>
                    <a:stretch>
                      <a:fillRect/>
                    </a:stretch>
                  </pic:blipFill>
                  <pic:spPr>
                    <a:xfrm>
                      <a:off x="0" y="0"/>
                      <a:ext cx="5486400" cy="586102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6696605, E 668383 i SWEREF 99 TM.</w:t>
      </w:r>
    </w:p>
    <w:p>
      <w:r>
        <w:rPr>
          <w:b/>
        </w:rPr>
        <w:t xml:space="preserve">Läderdoftande fingersvamp (VU) </w:t>
      </w:r>
      <w:r>
        <w:t>bildar mykorrhiza med gran i örtrik äldre barrskog, ofta på kalkrik mark. Den har en speciell doft som kan påminna om nytt skoläder (skoaffär), därav det svenska namnet. Den totala populationen i landet bedöms ändå ha minskat starkt och fortsatt kommer att minska då arten är knuten till en bördig äldre kalkgranskogsmiljö som successivt avverkas och där få områden alltjämt är formellt skyddade. All form av hårdhänt skogsavverkning på eller i närheten av växtplatsen missgynnar arten. Artens huvudsakliga koppling till produktiva äldre granskogar med hög bonitet gör den särskilt utsatt för slutavverkning. Samtliga lokaler bör undantas från rationellt skogsbruk och få ett områdesskydd (SLU Artdatabanken, 2024; Nitare &amp; Skogsstyrelsen, 2019).</w:t>
      </w:r>
    </w:p>
    <w:p>
      <w:r>
        <w:rPr>
          <w:b/>
        </w:rPr>
        <w:t>Ringlav (VU)</w:t>
      </w:r>
      <w:r>
        <w:t>, rödlistad som sårbar, växer oftast på gran och tall i brandrefugiala halvöppna skogar med hög och jämn luftfuktighet. Under de senaste 50 åren har minskningstakten uppgått till 30 (20–40) %. Hur mycket den kommer att minska i framtiden beror på vad som kommer att ske med de stora förekomster som hittats men som ännu saknar skydd. Arten, som är placerad i toppen på Skogsstyrelsen värdepyramid för bedömning av skog med höga naturvärden, är ytterst känslig för förändringar i mikroklimatet och den överlever inte i skogsbestånd som gränsar till kalhyggen. Lavens förekomster tillsammans med väl tilltagna skyddszoner måste skyddas och undantas från produktionsinriktat skogsbruk (SLU Artdatabanken, 2024; Nitare &amp; Skogsstyrelsen, 2019).</w:t>
      </w:r>
    </w:p>
    <w:p>
      <w:r>
        <w:rPr>
          <w:b/>
        </w:rPr>
        <w:t>Smultronkantarell (VU)</w:t>
      </w:r>
      <w:r>
        <w:t xml:space="preserve"> är en liten rosafärgad skivling med mycket speciell sötaktig doft av smultron eller kantarell som växer på kalkrik mark i äldre barrskog, framförallt i ängsgranskog men även i mager sandtallskog. Lokaler där arten finns är i allmänhet mycket rika på andra sällsynta, marklevande barrskogssvampar, varför ett skydd av artens växtställen samtidigt skyddar dessa. Arten hotas av kraftig gallring eller slutavverkning på eller i omedelbar närhet av växtlokalerna. Smultronkantarell är globalt rödlistad som nära hotad (NT) vilket innebär att Sverige har ett internationellt ansvar för arten (IUCN, 2025; SLU Artdatabanken, 2024; Nitare &amp; Skogsstyrelsen, 2019).</w:t>
      </w:r>
    </w:p>
    <w:p>
      <w:r>
        <w:rPr>
          <w:b/>
        </w:rPr>
        <w:t xml:space="preserve">Blek fingersvamp (NT) </w:t>
      </w:r>
      <w:r>
        <w:t>bildar mykorrhiza med dels gran i ängsgranskog men även under bok, ek och avenbok i ädellövskog. Arten är känslig för olika skogsbruksåtgärder och därför på tillbakagång såväl i Sverige som i andra europeiska länder. Arten hotas främst av slutavverkning och andra skogsbruksåtgärder. Arten tål inte en slutavverkning och sannolikt inte heller en kraftig gallring. Skogsområden med arten bör undantas från storskaligt skogsbruk. Slutavverkning, kraftig gallring och skogsgödsling måste helt undvikas, liksom körning med tunga maskiner (SLU Artdatabanken, 2024; Nitare &amp; Skogsstyrelsen, 2019).</w:t>
      </w:r>
    </w:p>
    <w:p>
      <w:r>
        <w:rPr>
          <w:b/>
        </w:rPr>
        <w:t>Denisespindling (NT)</w:t>
      </w:r>
      <w:r>
        <w:t xml:space="preserve"> bildar mykorrhiza med tall och gran i kalktallskog och ängsgranskog på kalkrik mark. Artens koppling till produktiva äldre granskogar med hög bonitet gör den särskilt utsatt för slutavverkning. Kalkbarrskogar med höga naturvärden bör undantas från rationellt skogsbruk och få områdesskydd med anpassade skötselråd (SLU Artdatabanken, 2024).</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Odörspindling (NT)</w:t>
      </w:r>
      <w:r>
        <w:t xml:space="preserve"> bildar mykorrhiza med gran och tall i örtrik kalkbarrskog. Den uppträder huvudsakligen i äldre barrskogar så kallade ”bondeskogar” med en lång trädkontinuitet. Minskningstakten uppgår till 15 % inom 50 år och bedöms vara nära gränsvärdet för Sårbar (VU). (A2c+3c+4c). Virkesrika, äldre barrskogar med hög bonitet, på bättre jordar är en bristvara i befintliga, skyddade områden i Sverige och fler örtrika barrskogar med trädkontinuitet måste skyddas i större utsträckning än vad som tidigare gjorts. Områden med odörspindling bör inte gallras eller plockhuggas om inte huggningen efterföljs av skogsbete (SLU Artdatabanken, 2024).</w:t>
      </w:r>
    </w:p>
    <w:p>
      <w:r>
        <w:rPr>
          <w:b/>
          <w:i/>
        </w:rPr>
        <w:t xml:space="preserve">Phellodon dititomentosus </w:t>
      </w:r>
      <w:r>
        <w:rPr>
          <w:b/>
        </w:rPr>
        <w:t xml:space="preserve">(NT) </w:t>
      </w:r>
      <w:r>
        <w:t>är en lädertaggsvamp som bildar mykorrhiza med gran i äldre barrskog på kalkrik mark. Den totala populationen i landet bedöms ha minskat och förväntas fortsätta minska på grund av slutavverkning av äldre kalkbarrskog och kontinuitetsskog. Arten har sannolikt svårt att återetablera sig efter kalavverkning, och det saknas tecken på att den långsiktigt kan etablera och reproducera sig i skogar där kontinuerlig markberedning, gödsling eller trakthyggesbruk förekommer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Sotvaxskivling (NT)</w:t>
      </w:r>
      <w:r>
        <w:t xml:space="preserve"> bildar mykorrhiza med gran och tall i barrskogar med lång trädkontinuitet. Den totala populationen i landet har minskat och bedöms fortsätta minska till följd av avverkning av äldre barrskogar. Arten har begränsad förmåga att återetablera sig efter slutavverkning eller andra storskaliga skogsbruksåtgärder. Det finns inga indikationer på att den långsiktigt kan etablera eller reproducera sig i skogsbestånd som brukas med trakthyggesmetoder, markberedning, gödsling eller föryngring med förädlat plantmaterial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Stubbspretmossa</w:t>
      </w:r>
      <w:r>
        <w:t xml:space="preserve"> växer på ved i rika löv- och barrskogar med relativt hög luftfuktighet och indikerar fuktiga skogsmiljöer med gott om murken ved och ofta höga naturvärden. Stubbspretmossa är typisk art för </w:t>
      </w:r>
      <w:r>
        <w:rPr>
          <w:i/>
        </w:rPr>
        <w:t>9020 Nordlig ädellövskog</w:t>
      </w:r>
      <w:r>
        <w:t xml:space="preserve"> (SLU Artdatabanken, 2024).</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39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52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