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14203-2024 i Östhammars kommun</w:t>
      </w:r>
    </w:p>
    <w:p>
      <w:r>
        <w:t>Detta dokument behandlar höga naturvärden i avverkningsanmälan A 14203-2024 i Östhammars kommun. Denna avverkningsanmälan inkom 2024-04-11 00:00:00 och omfattar 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scharlakansvaxing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3071"/>
            <wp:docPr id="1" name="Picture 1"/>
            <wp:cNvGraphicFramePr>
              <a:graphicFrameLocks noChangeAspect="1"/>
            </wp:cNvGraphicFramePr>
            <a:graphic>
              <a:graphicData uri="http://schemas.openxmlformats.org/drawingml/2006/picture">
                <pic:pic>
                  <pic:nvPicPr>
                    <pic:cNvPr id="0" name="A 14203-2024 karta.png"/>
                    <pic:cNvPicPr/>
                  </pic:nvPicPr>
                  <pic:blipFill>
                    <a:blip r:embed="rId16"/>
                    <a:stretch>
                      <a:fillRect/>
                    </a:stretch>
                  </pic:blipFill>
                  <pic:spPr>
                    <a:xfrm>
                      <a:off x="0" y="0"/>
                      <a:ext cx="5486400" cy="55330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6672194, E 662075 i SWEREF 99 TM.</w:t>
      </w:r>
    </w:p>
    <w:p>
      <w:r>
        <w:rPr>
          <w:b/>
        </w:rPr>
        <w:t xml:space="preserve">Scharlakansvaxing (NT) </w:t>
      </w:r>
      <w:r>
        <w:t>växer mest på magra, ogödslade naturbetes- och slåttermarker men kan sällsynt även påträffas i luckig skogsmark och på rikare mulljord i ädellövskog. Arten är globalt rödlistad som sårbar (VU) vilket innebär att Sverige har ett internationellt ansvar för arten (SLU Artdatabanken, 2024; IUCN,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