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21006-2024 i Östhammars kommun</w:t>
      </w:r>
    </w:p>
    <w:p>
      <w:r>
        <w:t>Detta dokument behandlar höga naturvärden i avverkningsanmälan A 21006-2024 i Östhammars kommun. Denna avverkningsanmälan inkom 2024-05-27 00:00:00 och omfattar 3,8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aspfjädermossa (VU), brun lundlav (VU), ekpricklav (VU), gulvit blekspik (VU), mörk kraterlav (VU), skogskorn (VU), lunglav (NT), rödbrun blekspik (NT), skogssvingel (NT), bårdlav (S), guldlockmossa (S), myskmadra (S), platt fjädermossa (S), slät lönnlav (S), stenporella (S), strutbräken (S), svart trolldruva (S), trubbfjädermossa (S), vårärt (S)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6127"/>
            <wp:docPr id="1" name="Picture 1"/>
            <wp:cNvGraphicFramePr>
              <a:graphicFrameLocks noChangeAspect="1"/>
            </wp:cNvGraphicFramePr>
            <a:graphic>
              <a:graphicData uri="http://schemas.openxmlformats.org/drawingml/2006/picture">
                <pic:pic>
                  <pic:nvPicPr>
                    <pic:cNvPr id="0" name="A 21006-2024 karta.png"/>
                    <pic:cNvPicPr/>
                  </pic:nvPicPr>
                  <pic:blipFill>
                    <a:blip r:embed="rId16"/>
                    <a:stretch>
                      <a:fillRect/>
                    </a:stretch>
                  </pic:blipFill>
                  <pic:spPr>
                    <a:xfrm>
                      <a:off x="0" y="0"/>
                      <a:ext cx="5486400" cy="3266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6665162, E 683695 i SWEREF 99 TM.</w:t>
      </w:r>
    </w:p>
    <w:p>
      <w:r>
        <w:rPr>
          <w:b/>
        </w:rPr>
        <w:t>Aspfjädermossa (VU)</w:t>
      </w:r>
      <w:r>
        <w:t xml:space="preserve"> är knuten till gamla skogar, framförallt på näringsrik, högproduktiv mark där den växer på bark av främst ask, lönn och asp. Arten är placerad högst upp i Skogsstyrelsens värdepyramid för bedömning av skog med höga naturvärden. Samtliga lokaler måste ges ett ändamålsenligt skydd och ett urval förekomster bör övervakas för att följa populationens status (SLU Artdatabanken, 2024; Nitare &amp; Skogsstyrelsen, 2019).</w:t>
      </w:r>
    </w:p>
    <w:p>
      <w:r>
        <w:rPr>
          <w:b/>
        </w:rPr>
        <w:t>Gulvit blekspik (VU)</w:t>
      </w:r>
      <w:r>
        <w:t xml:space="preserve"> växer främst på öppet stående, grova ädellövträd av framförallt ask och alm samt ibland även på lönn. Arten förekommer ofta i hagmarker, lövängar, parker och i alléer. Aktuella förekomster bör skyddas, speciellt förekomster som inte växer på alm och ask. Eftersom alm- och askskottsjukan är det allvarligaste hotet är åtgärder för att motverka dessa sjukdomar mycket viktigt. Alla blekspikar av släktet </w:t>
      </w:r>
      <w:r>
        <w:rPr>
          <w:i/>
        </w:rPr>
        <w:t>Sclerophora</w:t>
      </w:r>
      <w:r>
        <w:t xml:space="preserve"> ​​​​är utmärkta signalarter för gamla träd och skogsområden med höga naturvärden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kraterlav (VU)</w:t>
      </w:r>
      <w:r>
        <w:t xml:space="preserve"> växer på grov bark av ädellövträd som bok, alm, ask, lönn och ek. Miljöerna varierar från slutna bokskogar och andra ädellövskogar till öppna lövängar, alléer och parkmiljöer. Arten påträffas ofta vid basen av träden, men den förekommer inte sällan även en bit upp på stammen. Miljöerna har lång kontinuitet på gamla träd och tillsammans med mörk kraterlav förekommer ofta andra rödlistade lavar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Skogskorn (VU) </w:t>
      </w:r>
      <w:r>
        <w:t>är ett mycket sällsynt och värmeälskande lundgräs som växer på kalkhaltig mark i halvöppna ödellövskogar och extremrika kalkbarrskogar. Arten är placerad högst upp i Skogsstyrelsens värdepyramid för bedömning av skog med höga naturvärden. Dess växtplatser bör ej betas eller slutavverkas (SLU Artdatabanken, 2024; Nitare &amp; Skogsstyrelsen, 2019).</w:t>
      </w:r>
    </w:p>
    <w:p>
      <w:r>
        <w:rPr>
          <w:b/>
        </w:rPr>
        <w:t xml:space="preserve">Skogssvingel (NT) </w:t>
      </w:r>
      <w:r>
        <w:t>är ett sällsynt och exklusivt lundgräs som växer i bokskog, granskog och ädellövskog. Den hittas framför allt i gamla naturskogar med långvarig kontinuitet och hög luftfuktighet. Samtliga förekomster har idag reliktkaraktär och är troligen mycket gamla och arten är placerad högst upp i Skogsstyrelsens värdepyramid för bedömning av skog med höga naturvärden. Arten är mycket känslig för skogsbruk och samtliga lokaler bör skyddas</w:t>
      </w:r>
      <w:r>
        <w:rPr>
          <w:b/>
        </w:rPr>
        <w:t xml:space="preserve"> </w:t>
      </w:r>
      <w:r>
        <w:t>(SLU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