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24563-2022 i Östhammars kommun</w:t>
      </w:r>
    </w:p>
    <w:p>
      <w:r>
        <w:t>Detta dokument behandlar höga naturvärden i avverkningsanmälan A 24563-2022 i Östhammars kommun. Denna avverkningsanmälan inkom 2022-06-15 00:00:00 och omfattar 7,4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gul lammticka (VU), koppartaggsvamp (VU), kamjordstjärna (S), olivspindling (S) och rödgul trumpetsvamp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9181"/>
            <wp:docPr id="1" name="Picture 1"/>
            <wp:cNvGraphicFramePr>
              <a:graphicFrameLocks noChangeAspect="1"/>
            </wp:cNvGraphicFramePr>
            <a:graphic>
              <a:graphicData uri="http://schemas.openxmlformats.org/drawingml/2006/picture">
                <pic:pic>
                  <pic:nvPicPr>
                    <pic:cNvPr id="0" name="A 24563-2022 karta.png"/>
                    <pic:cNvPicPr/>
                  </pic:nvPicPr>
                  <pic:blipFill>
                    <a:blip r:embed="rId16"/>
                    <a:stretch>
                      <a:fillRect/>
                    </a:stretch>
                  </pic:blipFill>
                  <pic:spPr>
                    <a:xfrm>
                      <a:off x="0" y="0"/>
                      <a:ext cx="5486400" cy="4559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6683081, E 691644 i SWEREF 99 TM.</w:t>
      </w:r>
    </w:p>
    <w:p>
      <w:r>
        <w:rPr>
          <w:b/>
        </w:rPr>
        <w:t>Gul lammticka (VU)</w:t>
      </w:r>
      <w:r>
        <w:t xml:space="preserve"> bildar mykorrhiza med gran och förekommer i örtrik barrskog på kalkrik mark. Arten är placerad högst upp i Skogsstyrelsens värdepyramid för bedömning av skog med höga naturvärden och indikerar alltid skyddsvärda kalkgranskogar med höga naturvärden. Svampen tål inte slutavverkning och lokaler med gul lammticka bör skyddas som biotopskyddsområden eller naturreservat och lämnas för fri utveckling (SLU Artdatabanken, 2024; Nitare &amp; Skogsstyrelsen, 2019).</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