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48241-2024 i Östhammars kommun</w:t>
      </w:r>
    </w:p>
    <w:p>
      <w:r>
        <w:t>Detta dokument behandlar höga naturvärden i avverkningsanmälan A 48241-2024 i Östhammars kommun. Denna avverkningsanmälan inkom 2024-10-25 00:00:00 och omfattar 10,2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24 naturvårdsarter hittats: ål (CR), grönfink (EN, §4), gölgroda (VU, §4a), stare (VU, §4), drillsnäppa (NT, §4), gulsparv (NT, §4), havsörn (NT, §4), kråka (NT, §4), rörsångare (NT, §4), skrattmås (NT, §4), spillkråka (NT, §4), svart rödstjärt (NT, §4), talltita (NT, §4), ärtsångare (NT, §4), tvåblad (S, §8), citronfläckad kärrtrollslända (§4a), större vattensalamander (§4a), sångsvan (§4), mindre vattensalamander (§6), vanlig groda (§6), vanlig padda (§6), vanlig snok (§6), nattviol (§8) och revlummer (§9).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9735"/>
            <wp:docPr id="1" name="Picture 1"/>
            <wp:cNvGraphicFramePr>
              <a:graphicFrameLocks noChangeAspect="1"/>
            </wp:cNvGraphicFramePr>
            <a:graphic>
              <a:graphicData uri="http://schemas.openxmlformats.org/drawingml/2006/picture">
                <pic:pic>
                  <pic:nvPicPr>
                    <pic:cNvPr id="0" name="A 48241-2024 karta.png"/>
                    <pic:cNvPicPr/>
                  </pic:nvPicPr>
                  <pic:blipFill>
                    <a:blip r:embed="rId16"/>
                    <a:stretch>
                      <a:fillRect/>
                    </a:stretch>
                  </pic:blipFill>
                  <pic:spPr>
                    <a:xfrm>
                      <a:off x="0" y="0"/>
                      <a:ext cx="5486400" cy="4369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6700306, E 675379 i SWEREF 99 TM.</w:t>
      </w:r>
    </w:p>
    <w:p>
      <w:pPr>
        <w:pStyle w:val="Heading1"/>
      </w:pPr>
      <w:r>
        <w:t>Fridlysta arter</w:t>
      </w:r>
    </w:p>
    <w:p>
      <w:r>
        <w:t>Följande fridlysta arter har sina livsmiljöer och växtplatser i den avverkningsanmälda skogen: grönfink (EN, §4), gölgroda (VU, §4a), stare (VU, §4), drillsnäppa (NT, §4), gulsparv (NT, §4), havsörn (NT, §4), kråka (NT, §4), rörsångare (NT, §4), skrattmås (NT, §4), spillkråka (NT, §4), svart rödstjärt (NT, §4), talltita (NT, §4), ärtsångare (NT, §4), tvåblad (S, §8), citronfläckad kärrtrollslända (§4a), större vattensalamander (§4a), sångsvan (§4), mindre vattensalamander (§6), vanlig groda (§6), vanlig padda (§6), vanlig snok (§6), nattviol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Gölgroda (VU, §4a)</w:t>
      </w:r>
      <w:r>
        <w:t xml:space="preserve"> är strikt skyddad enligt EU:s art- och habitatdirektiv vilket innebär att hela dess livsmiljö ska bevaras. Gölgrodan uppehåller sig året runt i eller nära lekdammarna och i närbelägna småvatten och är beroende av skogsmark närmast runt lekvattnen. Dess rörlighet är begränsad där medelräckvidden per generation är &lt;400 meter och maximal spontan förflyttning ca 1 000 meter. Arten är känslig för dikning och storskaligt skogsbruk och omfattas av ett åtgärdsprogram för hotade arter (ÅGP) (SLU Artdatabanken, 2024; Söderman &amp; Länsstyrelsen i Uppsala län, 2019; Lindgren, 2014; Sjögren-Gulve &amp; Ray, 1996).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24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Gölgroda – ekologi samt krav på livsmiljön</w:t>
      </w:r>
    </w:p>
    <w:p>
      <w:r>
        <w:t>Gölgroda (VU, §4a) är strikt skyddad enligt EU:s art- och habitatdirektiv vilket innebär att hela dess livsmiljö ska bevaras. Gölgrodan uppehåller sig året runt i eller nära lekdammarna och i närbelägna småvatten och är beroende av skogsmark närmast runt lekvattnen. Dess rörlighet är begränsad där medelräckvidden per generation är &lt;400 meter och maximal spontan förflyttning ca 1 000 meter. Arten är känslig för dikning och storskaligt skogsbruk och omfattas av ett åtgärdsprogram för hotade arter (ÅGP) (SLU Artdatabanken, 2024; Söderman &amp; Länsstyrelsen i Uppsala län, 2019; Lindgren, 2014; Sjögren-Gulve &amp; Ray, 1996).</w:t>
      </w:r>
    </w:p>
    <w:p>
      <w:r>
        <w:t>Gölgrodan är troligen en av de mest värmeälskande amfibierna i Europa. Detta värmebehov märks bl.a. genom att arten börjar sin lek cirka två veckor efter det att de andra amfibiearterna i området har lekt färdigt. Gölgrodorna lämnar sina vinterkvarter (markhåligheter i skogbeklädd blockmark) i slutet av april och rör sig ner till sin lekdamm. Leken äger vanligen rum från mitten av maj till midsommarhelgen. Artens begränsade rörlighet gör att genflöde i stort sett bara förekommer mellan närliggande lokaler (SLU Artdatabanken, 2024; Lindgren, 2014).</w:t>
      </w:r>
    </w:p>
    <w:p>
      <w:r>
        <w:t>Dikning, skyddsdikning, samt förekomst av kalavverkade ytor större än 5 hektar har visat sig minska spridningen av grodor mellan lokaler vilket gör att lokaler isoleras och populationer dör ut i takt med att områdena blir mer ogästvänliga. Kalavverkning leder dessutom till ett förändrat lokalklimat då ett förlorat träd- och buskskikt kan leda till sänkta temperaturer genom att lokalerna blir mer vindexponerade. Även lokalklimatet vid övervintringsplatserna kan påverkas negativt eftersom hyggesrensning tar bort fukthållande vegetation och påverkar lokalklimatet ännu mer (SLU Artdatabanken, 2024; Söderman &amp; Länsstyrelsen i Uppsala län, 2019; Lindgren, 2014; Sjögren-Gulve &amp; Ray, 1996).</w:t>
      </w:r>
    </w:p>
    <w:p>
      <w:r>
        <w:t>På grund av att gölgrodans förekomst i Skandinavien är begränsad till relativt få lokaler i ett så pass geografiskt begränsat område, är artens känslighet för lokala miljöförändringar stor och utdöenderisken p.g.a. slumpmässiga populationsfluktuationer betydligt större än hos vitt spridda arter. Opåverkade områden där gölgrodelokaler ligger närmare varandra än 1 km måste bevaras opåverkade av dikning och kalhuggning för bibehållande av genflöde mellan lokalerna vilket minskar utdöenderisken (SLU Artdatabanken, 2024).</w:t>
      </w:r>
    </w:p>
    <w:p>
      <w:pPr>
        <w:pStyle w:val="Heading2"/>
      </w:pPr>
      <w:r>
        <w:t>Referenser – gölgroda</w:t>
      </w:r>
    </w:p>
    <w:p>
      <w:r>
        <w:t xml:space="preserve">Lindgren, B.,2014. </w:t>
      </w:r>
      <w:r>
        <w:rPr>
          <w:i/>
        </w:rPr>
        <w:t>Åtgärdsprogram för gölgroda 2014–2019 (Pelophylax lessonae)</w:t>
      </w:r>
      <w:r>
        <w:t>. Naturvårdsverket. Rapport: 6631). https://www.naturvardsverket.se/978-91-620-6631-4</w:t>
      </w:r>
    </w:p>
    <w:p>
      <w:r>
        <w:t xml:space="preserve">Sjögren-Gulve, P. &amp; Ray, C., 1996. </w:t>
      </w:r>
      <w:r>
        <w:rPr>
          <w:i/>
        </w:rPr>
        <w:t>Using logistic regression to model metapopulation dynamics: Large scale forestry extirpates the pool frog</w:t>
      </w:r>
      <w:r>
        <w:t>. I: McCullough, D.R. (red.) Metapopulations and wildlife conservation. Island Press, Washington, DC. Sid. 111–137</w:t>
      </w:r>
    </w:p>
    <w:p>
      <w:r>
        <w:t>SLU Artdatabanken, 2024.</w:t>
      </w:r>
      <w:r>
        <w:rPr>
          <w:i/>
        </w:rPr>
        <w:t xml:space="preserve">  Artfakta: gölgroda (Pelophylax lessonae). </w:t>
      </w:r>
      <w:r>
        <w:t>https://artfakta.se/taxa/100119</w:t>
      </w:r>
    </w:p>
    <w:p>
      <w:r>
        <w:t>Söderman, F. &amp; Länsstyrelsen i Uppsala län, 2019.</w:t>
      </w:r>
      <w:r>
        <w:rPr>
          <w:i/>
        </w:rPr>
        <w:t xml:space="preserve"> Redovisning av åtgärdsprogram för gölgroda, 2014-2019.</w:t>
      </w:r>
      <w:r>
        <w:t xml:space="preserve"> Naturvårdsverket.</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