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8753-2022 i Östhammars kommun</w:t>
      </w:r>
    </w:p>
    <w:p>
      <w:r>
        <w:t>Detta dokument behandlar höga naturvärden i avverkningsanmälan A 8753-2022 i Östhammars kommun. Denna avverkningsanmälan inkom 2022-02-22 00:00:00 och omfattar 5,3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gyllenspindling (VU), spricktaggsvamp (VU), olivspindling (S), skarp dropptaggsvamp (S) och svavelriska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8585"/>
            <wp:docPr id="1" name="Picture 1"/>
            <wp:cNvGraphicFramePr>
              <a:graphicFrameLocks noChangeAspect="1"/>
            </wp:cNvGraphicFramePr>
            <a:graphic>
              <a:graphicData uri="http://schemas.openxmlformats.org/drawingml/2006/picture">
                <pic:pic>
                  <pic:nvPicPr>
                    <pic:cNvPr id="0" name="A 8753-2022 karta.png"/>
                    <pic:cNvPicPr/>
                  </pic:nvPicPr>
                  <pic:blipFill>
                    <a:blip r:embed="rId16"/>
                    <a:stretch>
                      <a:fillRect/>
                    </a:stretch>
                  </pic:blipFill>
                  <pic:spPr>
                    <a:xfrm>
                      <a:off x="0" y="0"/>
                      <a:ext cx="5486400" cy="531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6693190, E 666596 i SWEREF 99 TM.</w:t>
      </w:r>
    </w:p>
    <w:p>
      <w:r>
        <w:rPr>
          <w:b/>
        </w:rPr>
        <w:t>Gyllenspindling (VU)</w:t>
      </w:r>
      <w:r>
        <w:t xml:space="preserve"> bildar mykorrhiza med gran i ängsgranskog på kalkrik mark, mer sällan med tall i kalktallskog. Minskningstakten uppgår till 30 % inom 50 år och överstiger gränsvärdet för Sårbar (VU) enligt A-kriteriet. Skogsbruk med kalavverkning, markberedning etc. är ogynnsamt för arten. Barrskog på kalkrik mark är en synnerligen skyddsvärd biotop varav fler områden behöver skyddas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Spricktaggsvamp (VU) </w:t>
      </w:r>
      <w:r>
        <w:t>är en sällsynt ”toppart” som indikerar starkt skyddsvärda kalkgranskogar. Den ingår i ett åtgärdsprogram för hotade arter (ÅGP) och är placerad högst upp i Skogsstyrelsens värdepyramid för bedömning av skog med höga naturvärden. Arten hotas främst av avverkning och andra skogsbruksåtgärder och tål inte en slutavverkning utan kräver ett kontinuerligt äldre trädskikt med gran. Skogsområden med spricktaggsvamp bör skyddas och undantas från rationellt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