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56956-2021 i Östhammars kommun</w:t>
      </w:r>
    </w:p>
    <w:p>
      <w:r>
        <w:t>Denna tillsynsbegäran behandlar höga naturvärden i avverkningsanmälan A 56956-2021 i Östhammars kommun som inkom 2021-10-13 och omfattar 6,9 ha.</w:t>
      </w:r>
    </w:p>
    <w:p>
      <w:pPr>
        <w:pStyle w:val="Caption"/>
      </w:pPr>
      <w:r>
        <w:drawing>
          <wp:inline xmlns:a="http://schemas.openxmlformats.org/drawingml/2006/main" xmlns:pic="http://schemas.openxmlformats.org/drawingml/2006/picture">
            <wp:extent cx="5452321" cy="5724000"/>
            <wp:docPr id="1" name="Picture 1"/>
            <wp:cNvGraphicFramePr>
              <a:graphicFrameLocks noChangeAspect="1"/>
            </wp:cNvGraphicFramePr>
            <a:graphic>
              <a:graphicData uri="http://schemas.openxmlformats.org/drawingml/2006/picture">
                <pic:pic>
                  <pic:nvPicPr>
                    <pic:cNvPr id="0" name="A 56956-2021 karta.png"/>
                    <pic:cNvPicPr/>
                  </pic:nvPicPr>
                  <pic:blipFill>
                    <a:blip r:embed="rId16"/>
                    <a:stretch>
                      <a:fillRect/>
                    </a:stretch>
                  </pic:blipFill>
                  <pic:spPr>
                    <a:xfrm>
                      <a:off x="0" y="0"/>
                      <a:ext cx="5452321" cy="5724000"/>
                    </a:xfrm>
                    <a:prstGeom prst="rect"/>
                  </pic:spPr>
                </pic:pic>
              </a:graphicData>
            </a:graphic>
          </wp:inline>
        </w:drawing>
      </w:r>
    </w:p>
    <w:p>
      <w:pPr>
        <w:pStyle w:val="Caption"/>
        <w:spacing w:after="240"/>
      </w:pPr>
      <w:r>
        <w:t>Figur 1. Fyndplatser för naturvårdsarter i och inom 2 meter från avverkningsanmälan. Markörer utan svart kant är placerade på fyndplatsen. Markörer med svart kant är placerade vid sidan av fyndplatsen har ett svart streck som visar fyndplatsens exakta position. Kartans mittpunktskoordinat är N 6682959, E 673573 i SWEREF 99 TM.</w:t>
      </w:r>
    </w:p>
    <w:p>
      <w:r>
        <w:t>I och inom 2 meter från avverkningsanmälan finns fynd av 11 naturvårdsarter, varav 6 är rödlistade, 1 är typisk (T) och 5 är signalarter (S): duvspindling (VU), kopparspindling (VU), fjällig taggsvamp s.str. (NT), grantaggsvamp (NT), gultoppig fingersvamp (NT), orange taggsvamp (NT, T), anisspindling (S), kamjordstjärna (S), olivspindling (S), rödgul trumpetsvamp (S) och svavelriska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Duvspindling (VU)</w:t>
      </w:r>
      <w:r>
        <w:t xml:space="preserve"> bildar mykorrhiza med tall och förmodligen även gran i torr, kalkrik barrskog. Arten är placerad högst upp i Skogsstyrelsens värdepyramid för bedömning av skog med höga naturvärden och utgör en mycket bra indikator på skyddsvärd kalktallskog av sydöstlig typ. Kalavverkning, markberedning och markavvattning utgör de främsta hoten (SLU Artdatabanken, 2024; Nitare &amp; Skogsstyrelsen, 2019).</w:t>
      </w:r>
    </w:p>
    <w:p>
      <w:r>
        <w:rPr>
          <w:b/>
        </w:rPr>
        <w:t xml:space="preserve">Kopparspindling (VU) </w:t>
      </w:r>
      <w:r>
        <w:t>bildar mykorrhiza med tall och gran i äldre ängsgranskog på kalkrik mark, mer sällan i ren kalktallskog.</w:t>
      </w:r>
      <w:r>
        <w:rPr>
          <w:b/>
        </w:rPr>
        <w:t xml:space="preserve"> </w:t>
      </w:r>
      <w:r>
        <w:t>Minskningstakten uppgår till 30 % inom 50 år och överstiger gränsvärdet för Sårbar (VU) enligt A-kriteriet. (A2c+3c+4c).</w:t>
      </w:r>
      <w:r>
        <w:rPr>
          <w:b/>
        </w:rPr>
        <w:t xml:space="preserve"> </w:t>
      </w:r>
      <w:r>
        <w:t>Intensivt skogsbruk, särskilt kalavverkning och markberedning missgynnar arten och lokaler som även hyser ett stort antal andra hotade arter bör helt undantas från skogsbruk.</w:t>
      </w:r>
      <w:r>
        <w:rPr>
          <w:b/>
        </w:rPr>
        <w:t xml:space="preserve"> </w:t>
      </w:r>
      <w:r>
        <w:t>Kopparspindling är globalt rödlistad som nära hotad (NT) vilket innebär att Sverige har ett internationellt ansvar för arten (SLU Artdatabanken, 2024; IUCN, 2015).</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 xml:space="preserve">Grantaggsvamp (NT) </w:t>
      </w:r>
      <w:r>
        <w:t>påträffas främst i mossiga och örtrika äldre granskogar på kalkrik mark i något fuktiga lägen, och i norr även i mager tallskog med lång kontinuitet. Arten missgynnas generellt av trakthyggesbruket och en långsiktig tillgång till värdträd bör säkras genom att man undviker att avverka kända växtplatser (SLU Artdatabanken, 2024).</w:t>
      </w:r>
    </w:p>
    <w:p>
      <w:r>
        <w:rPr>
          <w:b/>
        </w:rPr>
        <w:t>Gultoppig fingersvamp (NT)</w:t>
      </w:r>
      <w:r>
        <w:t xml:space="preserve"> bildar mykorrhiza med gran i örtrik äldre barrskog. Den är något kalkgynnad och föredrar bördiga granskogar av lågörtstyp. Svampen hotas främst av skogsavverkning och tycks försvinna efter slutavverkning, markberedning och plantering. Skogsområden med arten bör undantas från storskaligt skogsbruk. Slutavverkning, kraftig gallring och skogsgödsling måste undvikas, liksom körning med tunga maskiner (SLU Artdatabanken, 2024).</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Olivspindling</w:t>
      </w:r>
      <w:r>
        <w:t xml:space="preserve"> växer uteslutande på näringsrik och kalkhaltig skogsmark där den huvudsakligen bildar mykorrhiza med gran och tall. Svampen är en typisk representant för kalkgranskogens särpräglade och rika svampflora. Kalavverkning är ett hot mot arten, eftersom den sannolikt kräver lång kontinuitet av äldre träd. Populationerna i landet bedöms därför minska beroende på slutavverkning av äldre barrskog på kalkhaltig mark (SLU Artdatabanken, 2024; Nitare &amp; Skogsstyrelsen, 2019).</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