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32064-2022 i Östhammars kommun</w:t>
      </w:r>
    </w:p>
    <w:p>
      <w:r>
        <w:t>Detta klagomål behandlar höga naturvärden i avverkningsanmälan A 32064-2022 i Östhammars kommun som inkom 2022-08-05 och omfattar 2,2 ha.</w:t>
      </w:r>
    </w:p>
    <w:p>
      <w:pPr>
        <w:pStyle w:val="Caption"/>
      </w:pPr>
      <w:r>
        <w:drawing>
          <wp:inline xmlns:a="http://schemas.openxmlformats.org/drawingml/2006/main" xmlns:pic="http://schemas.openxmlformats.org/drawingml/2006/picture">
            <wp:extent cx="5486400" cy="5405329"/>
            <wp:docPr id="1" name="Picture 1"/>
            <wp:cNvGraphicFramePr>
              <a:graphicFrameLocks noChangeAspect="1"/>
            </wp:cNvGraphicFramePr>
            <a:graphic>
              <a:graphicData uri="http://schemas.openxmlformats.org/drawingml/2006/picture">
                <pic:pic>
                  <pic:nvPicPr>
                    <pic:cNvPr id="0" name="A 32064-2022 karta.png"/>
                    <pic:cNvPicPr/>
                  </pic:nvPicPr>
                  <pic:blipFill>
                    <a:blip r:embed="rId16"/>
                    <a:stretch>
                      <a:fillRect/>
                    </a:stretch>
                  </pic:blipFill>
                  <pic:spPr>
                    <a:xfrm>
                      <a:off x="0" y="0"/>
                      <a:ext cx="5486400" cy="540532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6687319, E 675118 i SWEREF 99 TM.</w:t>
      </w:r>
    </w:p>
    <w:p>
      <w:r>
        <w:t>I avverkningsanmälan finns fynd av 2 naturvårdsarter, varav 1 är rödlistad och 1 är signalart (S): gul lammticka (VU) och olivspindling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 lammticka (VU)</w:t>
      </w:r>
      <w:r>
        <w:t xml:space="preserve"> bildar mykorrhiza med gran och förekommer i örtrik barrskog på kalkrik mark. Arten är placerad högst upp i Skogsstyrelsens värdepyramid för bedömning av skog med höga naturvärden och indikerar alltid skyddsvärda kalkgranskogar med höga naturvärden. Svampen tål inte slutavverkning och lokaler med gul lammticka bör skyddas som biotopskyddsområden eller naturreservat och lämnas för fri utveckling (SLU Artdatabanken, 2024; Nitare &amp; Skogsstyrelsen, 2019).</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