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36 naturvårdsarter, varav 15 är rödlistade, 8 är fridlysta, 26 är typiska (T) och 14 är signalarter (S): gul taggsvamp (VU, T), knärot (VU, T, §8), läderdoftande fingersvamp (VU), ostticka (VU, T), dofttaggsvamp (NT, T), fjällig taggsvamp s.str. (NT), motaggsvamp (NT, T), orange taggsvamp (NT, T), skarp dropptaggsvamp (NT), svartvit taggsvamp (NT), talltita (NT, §4), ullticka (NT, T), vedskivlav (NT, T), vedtrappmossa (NT, T), vårärt (NT, T), brandticka (S), bronshjon (S, T), granbarkgnagare (S, T), grön sköldmossa (S, T, §8), grönpyrola (S, T), korallblylav (S, T), olivspindling (S), rödgul trumpetsvamp (S), skinnlav (S, T), skogsknipprot (S, T, §8), stubbspretmossa (S, T), svavelriska (S), tibast (S, T), vedticka (S, T), blåsippa (T, §9), brudborste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