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3558-2023 i Östhammars kommun</w:t>
      </w:r>
    </w:p>
    <w:p>
      <w:r>
        <w:t>Denna tillsynsbegäran behandlar höga naturvärden i samrådsanmälan S 3558-2023 i Östhammars kommun som inkom 2023-10-11 och omfattar 11,9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S 3558-2023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6682933, E 694167 i SWEREF 99 TM.</w:t>
      </w:r>
    </w:p>
    <w:p>
      <w:r>
        <w:t>I och inom 24 meter från samrådsanmälan finns fynd av 19 naturvårdsarter, varav 12 är rödlistade, 4 är fridlysta, 5 är typiska (T) och 4 är signalarter (S): fjällfotad fingersvamp (EN), gyllenfingersvamp (EN), mandarinfingersvamp (EN), violgubbe (EN), gul lammticka (VU), backklöver (NT), flattoppad klubbsvamp (NT), fyrflikig jordstjärna (NT, T), kryddspindling (NT, T), orange taggsvamp (NT, T), persiljespindling (NT), slåtterfibbla (NT, T), anisspindling (S), olivspindling (S), rödgul trumpetsvamp (S), tvåblad (S, §8),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fyrflikig jordstjärna (NT, T), kryddspindling (NT, T), orange taggsvamp (NT, T), slåtterfibbla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