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39763-2022 i Östhammars kommun</w:t>
      </w:r>
    </w:p>
    <w:p>
      <w:r>
        <w:t>Detta klagomål behandlar höga naturvärden i avverkningsanmälan A 39763-2022 i Östhammars kommun som inkom 2022-09-15 och omfattar 7,0 ha.</w:t>
      </w:r>
    </w:p>
    <w:p>
      <w:pPr>
        <w:pStyle w:val="Caption"/>
      </w:pPr>
      <w:r>
        <w:drawing>
          <wp:inline xmlns:a="http://schemas.openxmlformats.org/drawingml/2006/main" xmlns:pic="http://schemas.openxmlformats.org/drawingml/2006/picture">
            <wp:extent cx="5486400" cy="5546732"/>
            <wp:docPr id="1" name="Picture 1"/>
            <wp:cNvGraphicFramePr>
              <a:graphicFrameLocks noChangeAspect="1"/>
            </wp:cNvGraphicFramePr>
            <a:graphic>
              <a:graphicData uri="http://schemas.openxmlformats.org/drawingml/2006/picture">
                <pic:pic>
                  <pic:nvPicPr>
                    <pic:cNvPr id="0" name="A 39763-2022 karta.png"/>
                    <pic:cNvPicPr/>
                  </pic:nvPicPr>
                  <pic:blipFill>
                    <a:blip r:embed="rId16"/>
                    <a:stretch>
                      <a:fillRect/>
                    </a:stretch>
                  </pic:blipFill>
                  <pic:spPr>
                    <a:xfrm>
                      <a:off x="0" y="0"/>
                      <a:ext cx="5486400" cy="5546732"/>
                    </a:xfrm>
                    <a:prstGeom prst="rect"/>
                  </pic:spPr>
                </pic:pic>
              </a:graphicData>
            </a:graphic>
          </wp:inline>
        </w:drawing>
      </w:r>
    </w:p>
    <w:p>
      <w:pPr>
        <w:pStyle w:val="Caption"/>
        <w:spacing w:after="240"/>
      </w:pPr>
      <w:r>
        <w:t>Figur 1. Fyndplatser för naturvårdsarter i och inom 4 meter från avverkningsanmälan. Markörer utan svart kant är placerade på fyndplatsen. Markörer med svart kant är placerade vid sidan av fyndplatsen och har ett svart streck som visar fyndplatsens exakta position. Kartans mittpunktskoordinat är N 6670210, E 679573 i SWEREF 99 TM.</w:t>
      </w:r>
    </w:p>
    <w:p>
      <w:r>
        <w:t>I och inom 4 meter från avverkningsanmälan finns fynd av 5 naturvårdsarter, varav 5 är rödlistade, 1 är fridlyst och 2 är typiska (T): violgubbe (EN), knärot (VU, T, §8), blek fingersvamp (NT), fjällig taggsvamp s.str. (NT) och orange taggsvamp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Violgubbe (EN)</w:t>
      </w:r>
      <w:r>
        <w:t xml:space="preserve"> är en starkt hotad art som bildar mykorrhiza med gran och bok och ev. andra trädslag i äldre ängsgran- och ängsbokskog med lång kontinuitet, främst på kalkrik mark. Arten är placerad högst upp i Skogsstyrelsens värdepyramid för bedömning av skog med höga naturvärden och indikerar alltid skogsområden med höga naturvärden. Det största hotet mot arten är skogsavverkning och den omfattas av ett åtgärdsprogram för hotade arter (ÅGP). Violgubben överlever inte en slutavverkning och verkar dessutom ha svårt att etablera sig i yngre skogsbestånd (SLU Artdatabanken, 2026; Nitare &amp; Skogsstyrelsen, 2019; Aronsson, 2006).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0.56 ha med buffertzonerna och får av detta skäl inte avverkas.</w:t>
      </w:r>
    </w:p>
    <w:p>
      <w:pPr>
        <w:pStyle w:val="Caption"/>
      </w:pPr>
      <w:r>
        <w:drawing>
          <wp:inline xmlns:a="http://schemas.openxmlformats.org/drawingml/2006/main" xmlns:pic="http://schemas.openxmlformats.org/drawingml/2006/picture">
            <wp:extent cx="5486400" cy="5546732"/>
            <wp:docPr id="2" name="Picture 2"/>
            <wp:cNvGraphicFramePr>
              <a:graphicFrameLocks noChangeAspect="1"/>
            </wp:cNvGraphicFramePr>
            <a:graphic>
              <a:graphicData uri="http://schemas.openxmlformats.org/drawingml/2006/picture">
                <pic:pic>
                  <pic:nvPicPr>
                    <pic:cNvPr id="0" name="A 39763-2022 karta knärot.png"/>
                    <pic:cNvPicPr/>
                  </pic:nvPicPr>
                  <pic:blipFill>
                    <a:blip r:embed="rId17"/>
                    <a:stretch>
                      <a:fillRect/>
                    </a:stretch>
                  </pic:blipFill>
                  <pic:spPr>
                    <a:xfrm>
                      <a:off x="0" y="0"/>
                      <a:ext cx="5486400" cy="554673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6670210, E 679573 i SWEREF 99 TM.</w:t>
      </w:r>
    </w:p>
    <w:p>
      <w:r>
        <w:rPr>
          <w:b/>
        </w:rPr>
        <w:t xml:space="preserve">Blek fingersvamp (NT) </w:t>
      </w:r>
      <w:r>
        <w:t>bildar mykorrhiza med dels gran i ängsgranskog men även under bok, ek och avenbok i ädellövskog. Arten är känslig för olika skogsbruksåtgärder och därför på tillbakagång såväl i Sverige som i andra europeiska länder. Arten hotas främst av slutavverkning och andra skogsbruksåtgärder. Arten tål inte en slutavverkning och sannolikt inte heller en kraftig gallring. Skogsområden med arten bör undantas från storskaligt skogsbruk. Slutavverkning, kraftig gallring och skogsgödsling måste helt undvikas, liksom körning med tunga maskiner (SLU Artdatabanken, 2024; Nitare &amp; Skogsstyrelsen, 2019).</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