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13287-2022 i Östhammars kommun</w:t>
      </w:r>
    </w:p>
    <w:p>
      <w:r>
        <w:t>Detta klagomål behandlar höga naturvärden i avverkningsanmälan A 13287-2022 i Östhammars kommun som inkom 2022-03-24 och omfattar 14,6 ha.</w:t>
      </w:r>
    </w:p>
    <w:p>
      <w:pPr>
        <w:pStyle w:val="Caption"/>
      </w:pPr>
      <w:r>
        <w:drawing>
          <wp:inline xmlns:a="http://schemas.openxmlformats.org/drawingml/2006/main" xmlns:pic="http://schemas.openxmlformats.org/drawingml/2006/picture">
            <wp:extent cx="5486400" cy="4709565"/>
            <wp:docPr id="1" name="Picture 1"/>
            <wp:cNvGraphicFramePr>
              <a:graphicFrameLocks noChangeAspect="1"/>
            </wp:cNvGraphicFramePr>
            <a:graphic>
              <a:graphicData uri="http://schemas.openxmlformats.org/drawingml/2006/picture">
                <pic:pic>
                  <pic:nvPicPr>
                    <pic:cNvPr id="0" name="A 13287-2022 karta.png"/>
                    <pic:cNvPicPr/>
                  </pic:nvPicPr>
                  <pic:blipFill>
                    <a:blip r:embed="rId16"/>
                    <a:stretch>
                      <a:fillRect/>
                    </a:stretch>
                  </pic:blipFill>
                  <pic:spPr>
                    <a:xfrm>
                      <a:off x="0" y="0"/>
                      <a:ext cx="5486400" cy="4709565"/>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6682126, E 697495 i SWEREF 99 TM.</w:t>
      </w:r>
    </w:p>
    <w:p>
      <w:r>
        <w:t>I och inom 25 meter från avverkningsanmälan finns fynd av 9 naturvårdsarter, varav 5 är rödlistade, 1 är typisk (T) och 4 är signalarter (S): bullspindling (VU), duvspindling (VU), grangråticka (VU, T), blekspindling agg. (NT), äggspindling (NT), diskvaxskivling (S), olivspindling (S), rödgul trumpetsvamp (S) och svavelriska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Bullspindling (VU)</w:t>
      </w:r>
      <w:r>
        <w:t xml:space="preserve"> är en kräsen och mycket bra signalart för skyddsvärda äldre granskogar på kalkrik mark. Den är placerad högst upp i Skogsstyrelsens värdepyramid för bedömning av skog med höga naturvärden och skogsbruk, främst kalavverkning utgör ett stort hot mot arten. Artens minskningstakt uppgår till 30 % inom 50 år och överstiger gränsvärdet för Sårbar (VU) (SLU Artdatabanken, 2024; Nitare &amp; Skogsstyrelsen, 2019).</w:t>
      </w:r>
    </w:p>
    <w:p>
      <w:r>
        <w:rPr>
          <w:b/>
        </w:rPr>
        <w:t>Duvspindling (VU)</w:t>
      </w:r>
      <w:r>
        <w:t xml:space="preserve"> bildar mykorrhiza med tall och förmodligen även gran i torr, kalkrik barrskog. Arten är placerad högst upp i Skogsstyrelsens värdepyramid för bedömning av skog med höga naturvärden och utgör en mycket bra indikator på skyddsvärd kalktallskog av sydöstlig typ. Kalavverkning, markberedning och markavvattning utgör de främsta hoten (SLU Artdatabanken, 2024; Nitare &amp; Skogsstyrelsen, 2019).</w:t>
      </w:r>
    </w:p>
    <w:p>
      <w:r>
        <w:rPr>
          <w:b/>
        </w:rPr>
        <w:t>Grangråticka (VU)</w:t>
      </w:r>
      <w:r>
        <w:t xml:space="preserve"> bildar mykorrhiza med gran och påträffas på kalkrik mark i örtrika granskogar med t.ex. blåsippa, harsyra och ekorrbär i fältskiktet. Arten är beroende av långvarig kontinuitet av äldre gran och tål ingen slutavverkning (kalhuggning). Lokaler med grangråticka är alltid skyddsvärda och bör skötas med stor varsamhet. Grangråticka är typisk art för </w:t>
      </w:r>
      <w:r>
        <w:rPr>
          <w:i/>
        </w:rPr>
        <w:t>9050 Näringsrik granskog</w:t>
      </w:r>
      <w:r>
        <w:t xml:space="preserve"> (SLU Artdatabanken, 2024; Nitare &amp; Skogsstyrelsen, 2019).</w:t>
      </w:r>
    </w:p>
    <w:p>
      <w:r>
        <w:rPr>
          <w:b/>
        </w:rPr>
        <w:t xml:space="preserve">Blekspindling agg. (NT) </w:t>
      </w:r>
      <w:r>
        <w:t>bildar mykorrhiza med gran och tall i ängsgranskog och kalktallskog på torr och ofta kalkrik mark. Mer sällan även med bok och ek, i ädellövskog. Total population i landet bedöms ha minskat med mer än 15 % över de senaste 50 åren, p.g.a. slutavverkning av äldre skog. Minskningen bedöms fortgå framöver (SLU Artdatabanken, 2025).</w:t>
      </w:r>
    </w:p>
    <w:p>
      <w:r>
        <w:rPr>
          <w:b/>
        </w:rPr>
        <w:t xml:space="preserve">Äggspindling (NT) </w:t>
      </w:r>
      <w:r>
        <w:t>bildar mykorrhiza med gran i äldre ängsgranskog på kalkrik mark och kräver sannolikt lång kontinuitet av äldre träd. Arten bedöms ha minskat med mer än 15 % över de senaste 50 åren, p.g.a. slutavverkning av äldre skog och minskningstakten för den svenska populationen bedöms vara nära gränsvärdet för Sårbar (VU). (A2c+3c+4c). På artens växtplatser måste skogsbruk ske med stor försiktighet eftersom de ofta innehåller ett stort antal sällsynta och hotade arter. Lokaler med rika förekomster bör betraktas som nyckelbiotoper och helt undantas från avverkning. Äggspindling är globalt rödlistad som nära hotad (NT) vilket innebär att Sverige har ett internationellt ansvar för arten (SLU Artdatabanken, 2024; Nitare &amp; Skogsstyrelsen, 2019; IUCN, 2019).</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