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3558-2023 i Östhammars kommun</w:t>
      </w:r>
    </w:p>
    <w:p>
      <w:r>
        <w:t>Denna tillsynsbegäran behandlar höga naturvärden i samrådsanmälan S 3558-2023 i Östhammars kommun som inkom 2023-10-11 och omfattar 11,9 ha.</w:t>
      </w:r>
    </w:p>
    <w:p>
      <w:pPr>
        <w:pStyle w:val="Caption"/>
      </w:pPr>
      <w:r>
        <w:drawing>
          <wp:inline xmlns:a="http://schemas.openxmlformats.org/drawingml/2006/main" xmlns:pic="http://schemas.openxmlformats.org/drawingml/2006/picture">
            <wp:extent cx="5486400" cy="4990550"/>
            <wp:docPr id="1" name="Picture 1"/>
            <wp:cNvGraphicFramePr>
              <a:graphicFrameLocks noChangeAspect="1"/>
            </wp:cNvGraphicFramePr>
            <a:graphic>
              <a:graphicData uri="http://schemas.openxmlformats.org/drawingml/2006/picture">
                <pic:pic>
                  <pic:nvPicPr>
                    <pic:cNvPr id="0" name="S 3558-2023 karta.png"/>
                    <pic:cNvPicPr/>
                  </pic:nvPicPr>
                  <pic:blipFill>
                    <a:blip r:embed="rId16"/>
                    <a:stretch>
                      <a:fillRect/>
                    </a:stretch>
                  </pic:blipFill>
                  <pic:spPr>
                    <a:xfrm>
                      <a:off x="0" y="0"/>
                      <a:ext cx="5486400" cy="4990550"/>
                    </a:xfrm>
                    <a:prstGeom prst="rect"/>
                  </pic:spPr>
                </pic:pic>
              </a:graphicData>
            </a:graphic>
          </wp:inline>
        </w:drawing>
      </w:r>
    </w:p>
    <w:p>
      <w:pPr>
        <w:pStyle w:val="Caption"/>
        <w:spacing w:after="240"/>
      </w:pPr>
      <w:r>
        <w:t>Figur 1. Fyndplatser för naturvårdsarter i och inom 24 meter från samrådsanmälan. Markörer utan svart kant är placerade på fyndplatsen. Markörer med svart kant är placerade vid sidan av fyndplatsen och har ett svart streck som visar fyndplatsens exakta position. Kartans mittpunktskoordinat är N 6682933, E 694167 i SWEREF 99 TM.</w:t>
      </w:r>
    </w:p>
    <w:p>
      <w:r>
        <w:t>I och inom 24 meter från samrådsanmälan finns fynd av 19 naturvårdsarter, varav 12 är rödlistade, 4 är fridlysta, 5 är typiska (T) och 4 är signalarter (S): fjällfotad fingersvamp (EN), gyllenfingersvamp (EN), mandarinfingersvamp (EN), violgubbe (EN), gul lammticka (VU), backklöver (NT), flattoppad klubbsvamp (NT), fyrflikig jordstjärna (NT, T), kryddspindling (NT, T), orange taggsvamp (NT, T), persiljespindling (NT), slåtterfibbla (NT, T), anisspindling (S), olivspindling (S), rödgul trumpetsvamp (S), tvåblad (S, §8), blåsippa (T, §9), grönvit nattviol (§8) och gullviva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Fjällfotad fingersvamp (EN) </w:t>
      </w:r>
      <w:r>
        <w:t>är en mycket sällsynt och starkt hotad ”toppart” som</w:t>
      </w:r>
      <w:r>
        <w:rPr>
          <w:b/>
        </w:rPr>
        <w:t xml:space="preserve"> </w:t>
      </w:r>
      <w:r>
        <w:t>bildar mykorrhiza med gran i kalkbarrskog. Då arten förekommer i en produktiv skogsmiljö med långvarig trädkontinuitet bedöms svampens totala population ha minskat kraftigt under senare tid som följd av skogsbruksåtgärder. Samtliga växtplatser bör erhålla ett långsiktigt formellt skydd. Fjällfotad fingersvamp</w:t>
      </w:r>
      <w:r>
        <w:rPr>
          <w:b/>
        </w:rPr>
        <w:t xml:space="preserve"> </w:t>
      </w:r>
      <w:r>
        <w:t>är placerad högst upp i Skogsstyrelsens värdepyramid för bedömning av skog med höga naturvärden och globalt rödlistad som nära hotad (NT) vilket innebär att Sverige har ett internationellt ansvar för arten (SLU Artdatabanken, 2026; IUCN, 2019; Nitare &amp; Skogsstyrelsen, 2019).</w:t>
      </w:r>
    </w:p>
    <w:p>
      <w:r>
        <w:rPr>
          <w:b/>
        </w:rPr>
        <w:t xml:space="preserve">Gyllenfingersvamp (EN) </w:t>
      </w:r>
      <w:r>
        <w:t>är en sällsynt och starkt hotad svamp som</w:t>
      </w:r>
      <w:r>
        <w:rPr>
          <w:b/>
        </w:rPr>
        <w:t xml:space="preserve"> </w:t>
      </w:r>
      <w:r>
        <w:t>bildar mykorrhiza med gran, i granskog på rikare mark, framförallt i kalkbarrskogar, ofta i samma växtmiljö som violgubbe.</w:t>
      </w:r>
      <w:r>
        <w:rPr>
          <w:b/>
        </w:rPr>
        <w:t xml:space="preserve"> </w:t>
      </w:r>
      <w:r>
        <w:t>Som naturvårdsindikator är gyllenfingersvamp en ”toppart”. Den är mycket känslig för skogsbruksåtgärder och är aldrig påträffad i sekundärskog. Artens koppling till produktiva äldre granskogar med hög bonitet gör den särskilt utsatt för slutavverkning. Total population i landet bedöms ha minskat kraftigt och fortsatt minska, huvudsakligen p.g.a. slutavverkningar av äldre kontinuitetsskog. Samtliga lokaler bör undantas från rationellt skogsbruk och kalkbarrskogar med gyllenfingersvamp bör få områdesskydd. Arten är placerad högst upp i Skogsstyrelsens värdepyramid för bedömning av skog med höga naturvärden (SLU Artdatabanken, 2026; Nitare &amp; Skogsstyrelsen, 2019).</w:t>
      </w:r>
    </w:p>
    <w:p>
      <w:r>
        <w:rPr>
          <w:b/>
        </w:rPr>
        <w:t xml:space="preserve">Mandarinfingersvamp (EN) </w:t>
      </w:r>
      <w:r>
        <w:t>är en mycket sällsynt och starkt hotad svamp som bildar mykorrhiza med gran i äldre kalkbarrskog. Den totala populationen i landet är liten, har minskat och bedöms fortsätta minska till följd av avverkning av kalkbarrskogar. All form av hårdhänt skogsavverkning på eller i närheten av växtplatsen missgynnar arten och det finns inga indikationer på att arten långsiktigt kan etablera eller reproducera sig i skogsbestånd som brukas med trakthyggesmetoder, markberedning, gödsling eller föryngring med förädlat plantmaterial. Mandarinfingersvamp är känd från mycket få växtplatser vilka bör erhålla individuellt anpassade områdesskydd (SLU Artdatabanken, 2026).</w:t>
      </w:r>
    </w:p>
    <w:p>
      <w:r>
        <w:rPr>
          <w:b/>
        </w:rPr>
        <w:t>Violgubbe (EN)</w:t>
      </w:r>
      <w:r>
        <w:t xml:space="preserve"> är en starkt hotad art som bildar mykorrhiza med gran och bok och ev. andra trädslag i äldre ängsgran- och ängsbokskog med lång kontinuitet, främst på kalkrik mark. Arten är placerad högst upp i Skogsstyrelsens värdepyramid för bedömning av skog med höga naturvärden och indikerar alltid skogsområden med höga naturvärden. Det största hotet mot arten är skogsavverkning och den omfattas av ett åtgärdsprogram för hotade arter (ÅGP). Violgubben överlever inte en slutavverkning och verkar dessutom ha svårt att etablera sig i yngre skogsbestånd (SLU Artdatabanken, 2026; Nitare &amp; Skogsstyrelsen, 2019; Aronsson, 2006).</w:t>
      </w:r>
    </w:p>
    <w:p>
      <w:r>
        <w:rPr>
          <w:b/>
        </w:rPr>
        <w:t>Gul lammticka (VU)</w:t>
      </w:r>
      <w:r>
        <w:t xml:space="preserve"> bildar mykorrhiza med gran och förekommer i örtrik barrskog på kalkrik mark. Arten är placerad högst upp i Skogsstyrelsens värdepyramid för bedömning av skog med höga naturvärden och indikerar alltid skyddsvärda kalkgranskogar med höga naturvärden. Svampen tål inte slutavverkning och lokaler med gul lammticka bör skyddas som biotopskyddsområden eller naturreservat och lämnas för fri utveckling (SLU Artdatabanken, 2024; Nitare &amp; Skogsstyrelsen, 2019).</w:t>
      </w:r>
    </w:p>
    <w:p>
      <w:r>
        <w:rPr>
          <w:b/>
        </w:rPr>
        <w:t xml:space="preserve">Flattoppad klubbsvamp (NT) </w:t>
      </w:r>
      <w:r>
        <w:t>bildar mykorrhiza med gran och växer i äldre barrskog på näringsrik, kalkpåverkad mark. Växtmiljön utgörs vanligen av örtrika granskogar med höga naturvärden, gärna påverkade av ytligt och rörligt markvatten. Svampen kräver välutvecklade gamla mossmattor med konstant fuktigt mikroklimat och hotas främst av slutavverkning av äldre ängsgranskogar på näringsrik mark. Artens lokaler bör undantas från skogsbruk (SLU Artdatabanken, 2024).</w:t>
      </w:r>
    </w:p>
    <w:p>
      <w:r>
        <w:rPr>
          <w:b/>
        </w:rPr>
        <w:t xml:space="preserve">Fyrflikig jordstjärna (NT) </w:t>
      </w:r>
      <w:r>
        <w:t xml:space="preserve">är en nedbrytare i löv- eller barrförna i skogsmark på väl dränerade och mer eller mindre kalkrika jordar. Den är främst funnen i örtrika gamla barrskogar, med eller utan lövträdsinslag, där den växer i nakna eller mosstäckta välutvecklade barrmattor, under gran, tall, en och ibland idegran. Artens växtplatser, och även den närliggande skogsmiljön kring växtplatserna, bör undantas från slutavverkning och genomgripande gallringar. Fyrflikig jordstjärna är typisk art för </w:t>
      </w:r>
      <w:r>
        <w:rPr>
          <w:i/>
        </w:rPr>
        <w:t>9050 Näringsrik granskog</w:t>
      </w:r>
      <w:r>
        <w:t xml:space="preserve"> (SLU Artdatabanken, 2024).</w:t>
      </w:r>
    </w:p>
    <w:p>
      <w:r>
        <w:rPr>
          <w:b/>
        </w:rPr>
        <w:t>Kryddspindling (NT)</w:t>
      </w:r>
      <w:r>
        <w:t xml:space="preserve"> signalerar örtrika granskogar som normalt har höga naturvärden. Oftast växer den i äldre granskog på kalkrikt underlag och svampen är en mycket användbar signalart för denna miljö. Den utgör en viktig karaktärsart för all äldre kalkbarrskog med lång trädkontinuitet av gran. På lokalerna förekommer nästan alltid många ovanliga och rödlistade arter. Den totala populationen i landet har minskat och bedöms fortsätta minska till följd av avverkning av äldre barrskogar. Kryddspindling är typisk art för </w:t>
      </w:r>
      <w:r>
        <w:rPr>
          <w:i/>
        </w:rPr>
        <w:t xml:space="preserve">9050 Näringsrik granskog </w:t>
      </w:r>
      <w:r>
        <w:t>(Nitare &amp; Skogsstyrelsen, 2000; SLU Artdatabanken, 2026).</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Persiljespindling (NT)</w:t>
      </w:r>
      <w:r>
        <w:t xml:space="preserve"> bildar mykorrhiza med tall, gran och bok i ängsgranskog, kalktallskog och i ängsbokskog på rikare mark. Minskningstakten uppgår till 15 % inom 50 år och bedöms vara nära gränsvärdet för Sårbar (VU). (A2c+3c+4c). Persiljespindlingen hotas av avverkningar och är särskilt känslig eftersom den är knuten till äldre, produktiv barrskog, d.v.s. en skogstyp som är en bristvara i skyddade områden i Sverige och som samtidigt försvinner i snabb takt genom slutavverkningar. Skyddet för äldre ört- och kalkrika barrskogar med trädkontinuitet måste öka och oskyddade bokskogar med persiljespindling måste få ett formellt skydd i form av biotopskydd eller naturreservat (SLU Artdatabanken, 2024).</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fyrflikig jordstjärna (NT, T), kryddspindling (NT, T), orange taggsvamp (NT, T), slåtterfibbla (NT, T) och blåsippa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