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21006-2024 i Östhammars kommun</w:t>
      </w:r>
    </w:p>
    <w:p>
      <w:r>
        <w:t>Detta klagomål behandlar höga naturvärden i avverkningsanmälan A 21006-2024 i Östhammars kommun som inkom 2024-05-27 och omfattar 3,8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21006-2024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6665162, E 683695 i SWEREF 99 TM.</w:t>
      </w:r>
    </w:p>
    <w:p>
      <w:r>
        <w:t>I och inom 25 meter från avverkningsanmälan finns fynd av 25 naturvårdsarter, varav 11 är rödlistade, 2 är fridlysta, 21 är typiska (T) och 13 är signalarter (S): aspfjädermossa (VU, T), brun lundlav (VU), ekpricklav (VU), gulvit blekspik (VU, T), mörk kraterlav (VU), skogskorn (VU, T), lunglav (NT, T), rutskinn (NT, T), rödbrun blekspik (NT, T), skogssvingel (NT, T), vårärt (NT, T), bårdlav (S, T), fällmossa (S, T), grön sköldmossa (S, T, §8), guldlockmossa (S, T), myskmadra (S, T), platt fjädermossa (S, T), skogshakmossa (S, T), slät lönnlav (S), stenporella (S, T), strutbräken (S, T), svart trolldruva (S, T), trubbfjädermossa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Brun lundlav (VU)</w:t>
      </w:r>
      <w:r>
        <w:t xml:space="preserve"> växer på slätbarkiga ädellövträd och på asp i blandad ädellövskog eller blandskog. Lokalerna har ofta lång trädkontinuitet och luftfuktigheten är hög. Arten hotas av skogsbruk samt av igenväxning p.g.a. minskad hävd. Även almsjukan och askskottssjukan utgör ett hot. Skydda åtminstone de rikligaste lokalerna. Öka hävden på igenvuxen mark och undvik produktionsinriktat skogsbruk på och i närheten av lokaler med arten (SLU Artdatabanken, 2026).</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