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63054-2025 i Östhammars kommun</w:t>
      </w:r>
    </w:p>
    <w:p>
      <w:r>
        <w:t>Detta klagomål behandlar höga naturvärden i avverkningsanmälan A 63054-2025 i Östhammars kommun som inkom 2025-12-18 och omfattar 6,5 ha.</w:t>
      </w:r>
    </w:p>
    <w:p>
      <w:pPr>
        <w:pStyle w:val="Caption"/>
      </w:pPr>
      <w:r>
        <w:drawing>
          <wp:inline xmlns:a="http://schemas.openxmlformats.org/drawingml/2006/main" xmlns:pic="http://schemas.openxmlformats.org/drawingml/2006/picture">
            <wp:extent cx="5486400" cy="4820478"/>
            <wp:docPr id="1" name="Picture 1"/>
            <wp:cNvGraphicFramePr>
              <a:graphicFrameLocks noChangeAspect="1"/>
            </wp:cNvGraphicFramePr>
            <a:graphic>
              <a:graphicData uri="http://schemas.openxmlformats.org/drawingml/2006/picture">
                <pic:pic>
                  <pic:nvPicPr>
                    <pic:cNvPr id="0" name="A 63054-2025 karta.png"/>
                    <pic:cNvPicPr/>
                  </pic:nvPicPr>
                  <pic:blipFill>
                    <a:blip r:embed="rId16"/>
                    <a:stretch>
                      <a:fillRect/>
                    </a:stretch>
                  </pic:blipFill>
                  <pic:spPr>
                    <a:xfrm>
                      <a:off x="0" y="0"/>
                      <a:ext cx="5486400" cy="4820478"/>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6675763, E 655310 i SWEREF 99 TM.</w:t>
      </w:r>
    </w:p>
    <w:p>
      <w:r>
        <w:t>I och inom 24 meter från avverkningsanmälan finns fynd av 21 naturvårdsarter, varav 12 är rödlistade, 8 är fridlysta, 9 är typiska (T) och 1 är signalart (S): violgubbe (EN), knärot (VU, T, §8), läderdoftande fingersvamp (VU), bivråk (NT, §4), blek fingersvamp (NT), fjällig taggsvamp s.str. (NT), gultoppig fingersvamp (NT), järnsparv (NT, §4), kortskaftad ärgspik (NT), vedtrappmossa (NT, T), vågticka (NT), älg (NT), svavelriska (S), blåbär (T), blåsippa (T, §9), ekbräken (T), kransmossa (T), spillkråka (T, §4), tjäder (T, §4), tofsmes (T, §4) och kopparödla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Violgubbe (EN)</w:t>
      </w:r>
      <w:r>
        <w:t xml:space="preserve"> är en starkt hotad art som bildar mykorrhiza med gran och bok och ev. andra trädslag i äldre ängsgran- och ängsbokskog med lång kontinuitet, främst på kalkrik mark. Arten är placerad högst upp i Skogsstyrelsens värdepyramid för bedömning av skog med höga naturvärden och indikerar alltid skogsområden med höga naturvärden. Det största hotet mot arten är skogsavverkning och den omfattas av ett åtgärdsprogram för hotade arter (ÅGP). Violgubben överlever inte en slutavverkning och verkar dessutom ha svårt att etablera sig i yngre skogsbestånd (SLU Artdatabanken, 2026; Nitare &amp; Skogsstyrelsen, 2019; Aronsson, 2006).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0.92 ha med buffertzonerna och får av detta skäl inte avverkas.</w:t>
      </w:r>
    </w:p>
    <w:p>
      <w:pPr>
        <w:pStyle w:val="Caption"/>
      </w:pPr>
      <w:r>
        <w:drawing>
          <wp:inline xmlns:a="http://schemas.openxmlformats.org/drawingml/2006/main" xmlns:pic="http://schemas.openxmlformats.org/drawingml/2006/picture">
            <wp:extent cx="5486400" cy="6492649"/>
            <wp:docPr id="2" name="Picture 2"/>
            <wp:cNvGraphicFramePr>
              <a:graphicFrameLocks noChangeAspect="1"/>
            </wp:cNvGraphicFramePr>
            <a:graphic>
              <a:graphicData uri="http://schemas.openxmlformats.org/drawingml/2006/picture">
                <pic:pic>
                  <pic:nvPicPr>
                    <pic:cNvPr id="0" name="A 63054-2025 karta knärot.png"/>
                    <pic:cNvPicPr/>
                  </pic:nvPicPr>
                  <pic:blipFill>
                    <a:blip r:embed="rId17"/>
                    <a:stretch>
                      <a:fillRect/>
                    </a:stretch>
                  </pic:blipFill>
                  <pic:spPr>
                    <a:xfrm>
                      <a:off x="0" y="0"/>
                      <a:ext cx="5486400" cy="649264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6675763, E 655310 i SWEREF 99 TM.</w:t>
      </w:r>
    </w:p>
    <w:p>
      <w:r>
        <w:rPr>
          <w:b/>
        </w:rPr>
        <w:t xml:space="preserve">Läderdoftande fingersvamp (VU) </w:t>
      </w:r>
      <w:r>
        <w:t>bildar mykorrhiza med gran i örtrik äldre barrskog, ofta på kalkrik mark. Den har en speciell doft som kan påminna om nytt skoläder (skoaffär), därav det svenska namnet. Den totala populationen i landet bedöms ändå ha minskat starkt och fortsatt kommer att minska då arten är knuten till en bördig äldre kalkgranskogsmiljö som successivt avverkas och där få områden alltjämt är formellt skyddade. All form av hårdhänt skogsavverkning på eller i närheten av växtplatsen missgynnar arten. Artens huvudsakliga koppling till produktiva äldre granskogar med hög bonitet gör den särskilt utsatt för slutavverkning. Samtliga lokaler bör undantas från rationellt skogsbruk och få ett områdesskydd (SLU Artdatabanken, 2024; Nitare &amp; Skogsstyrelsen, 2019).</w:t>
      </w:r>
    </w:p>
    <w:p>
      <w:r>
        <w:rPr>
          <w:b/>
        </w:rPr>
        <w:t>Bivråk (NT, §4)</w:t>
      </w:r>
      <w:r>
        <w:t xml:space="preserve"> ingår i bilaga 1 i EU:s fågeldirektiv och är prioriterad art i Skogsvårdslagen. Den har minskat med 2/3-delar sedan 1970-talet och under de senaste 30 åren har minskningstakten uppgått till 22.5 (15–30) %. Arten häckar i tät, ogallrad skog på högproduktiv mark, i södra Sverige främst i lövskogsrika trakter, i Norrland till stor del i högproduktiv granskog, Födan består av getinglarver och -puppor, men även av fågelungar och groddjur. Bivråken påverkas negativt av avverkning och omföring av lövträdsrika marker till täta produktionsskogar av barrträd samt av den allmänna "</w:t>
      </w:r>
      <w:r>
        <w:rPr>
          <w:i/>
        </w:rPr>
        <w:t>förtorkningen</w:t>
      </w:r>
      <w:r>
        <w:t>" av landskapet genom täckdikning, dikning av skogsmark etc. Bevara lövskogar och öka andelen löv i barrskog. Gallra inte i onödan och inte alls i sumpskog. Dika inte ut vattensamlingar, sumpskogar, alkärr eller andra våta miljöer. Kring alla boplatser ska det lämnas en skyddszon vid avverkning eller andra skogliga åtgärder. Som tumregel ska skyddszonen vara så bred att boet inte syns väl från öppen mark. Minskningstakten för den svenska populationen bedöms vara nära gränsvärdet för Sårbar (VU) (SLU Artdatabanken, 2026; Skogsstyrelsen, 2016).</w:t>
      </w:r>
    </w:p>
    <w:p>
      <w:r>
        <w:rPr>
          <w:b/>
        </w:rPr>
        <w:t xml:space="preserve">Blek fingersvamp (NT) </w:t>
      </w:r>
      <w:r>
        <w:t>bildar mykorrhiza med dels gran i ängsgranskog men även under bok, ek och avenbok i ädellövskog. Arten är känslig för olika skogsbruksåtgärder och därför på tillbakagång såväl i Sverige som i andra europeiska länder. Arten hotas främst av slutavverkning och andra skogsbruksåtgärder. Arten tål inte en slutavverkning och sannolikt inte heller en kraftig gallring. Skogsområden med arten bör undantas från storskaligt skogsbruk. Slutavverkning, kraftig gallring och skogsgödsling måste helt undvikas, liksom körning med tunga maskiner (SLU Artdatabanken, 2024; Nitare &amp; Skogsstyrelsen, 2019).</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Gultoppig fingersvamp (NT)</w:t>
      </w:r>
      <w:r>
        <w:t xml:space="preserve"> bildar mykorrhiza med gran i örtrik äldre barrskog. Den är något kalkgynnad och föredrar bördiga granskogar av lågörtstyp. Svampen hotas främst av skogsavverkning och tycks försvinna efter slutavverkning, markberedning och plantering. Skogsområden med arten bör undantas från storskaligt skogsbruk. Slutavverkning, kraftig gallring och skogsgödsling måste undvikas, liksom körning med tunga maskiner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Vågticka (NT) </w:t>
      </w:r>
      <w:r>
        <w:t>förekommer främst i rikare kontinuitetsskogar med mycket död ved. Den växer på grova lågor och stubbar av gran och asp, men ibland även på andra trädslag.  Arten missgynnas av slutavverkning av äldre barrskog med lång skoglig kontinuitet, men även av skogliga åtgärder som t.ex. markberedning som förstör lågor. Minskningstakten för den svenska populationen bedöms vara nära gränsvärdet för sårbar (VU) (SLU Artdatabanken, 2026).</w:t>
      </w:r>
    </w:p>
    <w:p>
      <w:r>
        <w:rPr>
          <w:b/>
        </w:rPr>
        <w:t>Blåbär</w:t>
      </w:r>
      <w:r>
        <w:t xml:space="preserve"> är typisk art för </w:t>
      </w:r>
      <w:r>
        <w:rPr>
          <w:i/>
        </w:rPr>
        <w:t>9190 Näringsfattig ekskog</w:t>
      </w:r>
      <w:r>
        <w:t>. I naturskogar och kontinuitetsskogar är blåbär värdväxt för bland annat de rödlistade fjärilarna sibiriskt lundfly (EN), tajgafjällfly (EN), urskogsfly (EN), fjällskogsfly (VU), högnordiskt fjällfly (VU), baltiskt skogsfly (NT), gråpudrat skogsfly (NT), grå blåbärsfältmätare (NT) och skogsfältmätare (NT) (SLU Artdatabanken, 2026).</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 xml:space="preserve">Ekbräken </w:t>
      </w:r>
      <w:r>
        <w:t xml:space="preserve">är typisk art för </w:t>
      </w:r>
      <w:r>
        <w:rPr>
          <w:i/>
        </w:rPr>
        <w:t>9050 Näringsrik granskog</w:t>
      </w:r>
      <w:r>
        <w:t xml:space="preserve"> (SLU Artdatabanken, 2025).</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Tofsmes (§4)</w:t>
      </w:r>
      <w:r>
        <w:t xml:space="preserve"> häckar i barr- och blandskog, främst i tallskog. Tofsmes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21 naturvårdsarter varav 12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Bivråk – ekologi samt krav på livsmiljön</w:t>
      </w:r>
    </w:p>
    <w:p>
      <w:r>
        <w:t>Bivråk (NT, §4) ingår i bilaga 1 i EU:s fågeldirektiv och är prioriterad art i Skogsvårdslagen. Den har minskat med 2/3-delar sedan 1970-talet och under de senaste 30 åren har minskningstakten uppgått till 22.5 (15–30) %. Minskningstakten för den svenska populationen bedöms vara nära gränsvärdet för Sårbar (VU) (SLU Artdatabanken, 2026).</w:t>
      </w:r>
    </w:p>
    <w:p>
      <w:r>
        <w:t>Arten häckar i tät, ogallrad skog på högproduktiv mark, i södra Sverige främst i lövskogsrika trakter, i Norrland till stor del i högproduktiv granskog, Födan består av getinglarver och -puppor, men även av fågelungar och groddjur. (SLU Artdatabanken, 2026).</w:t>
      </w:r>
    </w:p>
    <w:p>
      <w:r>
        <w:t>En trolig delförklaring till minskande bivråksstammar är att det i dagens skogs- och jordbruksbygder finns ett sämre utbud av insektsrika biotoper jämfört med förhållandena för 20–40 år sedan. Minskad insektsrikedom innebär förmodligen en lägre täthet av sociala getingsamhällen och därmed sämre förutsättningar för bivråkens häckning. En allmän "</w:t>
      </w:r>
      <w:r>
        <w:rPr>
          <w:i/>
        </w:rPr>
        <w:t>förtorkning</w:t>
      </w:r>
      <w:r>
        <w:t>" av landskapet (täckdikning, dikning av skogsmark etc.) liksom omföring av lövträdsrika marker till täta produktionsskogar av barrträd medför dessutom en försämrad förekomst av tättingar (trastar etc.) och grodor, vilket sannolikt påverkar bivråken negativt. (SLU Artdatabanken, 2026).</w:t>
      </w:r>
    </w:p>
    <w:p>
      <w:r>
        <w:t>Bevara lövskogar och öka andelen löv i barrskog. Gallra inte i onödan och inte alls i sumpskog. Dika inte ut vattensamlingar, sumpskogar, alkärr eller andra våta miljöer. Kring alla boplatser ska det lämnas en skyddszon vid avverkning eller andra skogliga åtgärder. Som tumregel ska skyddszonen vara så bred att boet inte syns väl från öppen mark (SLU Artdatabanken, 2026; Skogsstyrelsen, 2016).</w:t>
      </w:r>
    </w:p>
    <w:p>
      <w:pPr>
        <w:pStyle w:val="Heading2"/>
      </w:pPr>
      <w:r>
        <w:t>Referenser – bivråk</w:t>
      </w:r>
    </w:p>
    <w:p>
      <w:r>
        <w:t xml:space="preserve">Skogsstyrelsen, 2016. </w:t>
      </w:r>
      <w:r>
        <w:rPr>
          <w:i/>
        </w:rPr>
        <w:t>Vägledning för hänsyn till bivråk.</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