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39 naturvårdsarter, varav 18 är rödlistade, 8 är fridlysta, 26 är typiska (T) och 14 är signalarter (S): gul taggsvamp (VU, T), knärot (VU, T, §8), läderdoftande fingersvamp (VU), ostticka (VU, T), barrfagerspindling (NT), dofttaggsvamp (NT, T), fjällig taggsvamp s.str. (NT), gransotdyna (NT), motaggsvamp (NT, T), orange taggsvamp (NT, T), persiljespindling (NT), skarp dropptaggsvamp (NT), svartvit taggsvamp (NT), talltita (NT, §4), ullticka (NT, T), vedskivlav (NT, T), vedtrappmossa (NT, T), vårärt (NT, T), brandticka (S), bronshjon (S, T), granbarkgnagare (S, T), grön sköldmossa (S, T, §8), grönpyrola (S, T), korallblylav (S, T), olivspindling (S), rödgul trumpetsvamp (S), skinnlav (S, T), skogsknipprot (S, T, §8), stubbspretmossa (S, T), svavelriska (S), tibast (S, T), vedticka (S, T), blåsippa (T, §9), brudborste (T), kransmossa (T),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