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som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gul taggsvamp (VU, T), fjällig taggsvamp s.str. (NT), motaggsvamp (NT, T), talltita (NT, §4), ullticka (NT, T), grön sköldmossa (S, T, §8), korallblylav (S, T), rödgul trumpetsvamp (S), blåsippa (T, §9), tallbit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2"/>
      </w:pPr>
      <w:r>
        <w:t>Fridlysta arter</w:t>
      </w:r>
    </w:p>
    <w:p>
      <w:r>
        <w:t>Följande fridlysta arter har sina livsmiljöer och växtplatser i den avverkningsanmälda skogen: talltita (NT, §4), grön sköldmossa (S, T, §8), blåsippa (T, §9), tallbit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