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260-2025 i Östhammars kommun</w:t>
      </w:r>
    </w:p>
    <w:p>
      <w:r>
        <w:t>Denna tillsynsbegäran behandlar höga naturvärden i avverkningsanmälan A 260-2025 i Östhammars kommun som inkom 2025-01-03 och omfattar 15,7 ha.</w:t>
      </w:r>
    </w:p>
    <w:p>
      <w:pPr>
        <w:pStyle w:val="Caption"/>
      </w:pPr>
      <w:r>
        <w:drawing>
          <wp:inline xmlns:a="http://schemas.openxmlformats.org/drawingml/2006/main" xmlns:pic="http://schemas.openxmlformats.org/drawingml/2006/picture">
            <wp:extent cx="4720825" cy="5724000"/>
            <wp:docPr id="1" name="Picture 1"/>
            <wp:cNvGraphicFramePr>
              <a:graphicFrameLocks noChangeAspect="1"/>
            </wp:cNvGraphicFramePr>
            <a:graphic>
              <a:graphicData uri="http://schemas.openxmlformats.org/drawingml/2006/picture">
                <pic:pic>
                  <pic:nvPicPr>
                    <pic:cNvPr id="0" name="A 260-2025 karta.png"/>
                    <pic:cNvPicPr/>
                  </pic:nvPicPr>
                  <pic:blipFill>
                    <a:blip r:embed="rId16"/>
                    <a:stretch>
                      <a:fillRect/>
                    </a:stretch>
                  </pic:blipFill>
                  <pic:spPr>
                    <a:xfrm>
                      <a:off x="0" y="0"/>
                      <a:ext cx="472082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6674202, E 651940 i SWEREF 99 TM.</w:t>
      </w:r>
    </w:p>
    <w:p>
      <w:r>
        <w:t>I och inom 25 meter från avverkningsanmälan finns fynd av 32 naturvårdsarter, varav 20 är rödlistade, 6 är fridlysta, 14 är typiska (T) och 9 är signalarter (S): fläckfingersvamp (VU), knärot (VU, T, §8), laxporing (VU), läderdoftande fingersvamp (VU), fjällig taggsvamp s.str. (NT), gultoppig fingersvamp (NT), kattfotslav (NT, T), kortskaftad ärgspik (NT), motaggsvamp (NT, T), nötkråka (NT, T, §4), rynkskinn (NT, T), rödfläckig zontaggsvamp (NT), skarp dropptaggsvamp (NT), tallkötticka (NT), talltita (NT, §4), tjockfotad fingersvamp (NT), ullticka (NT, T), vedtrappmossa (NT, T), vågticka (NT), vårärt (NT, T), björksplintborre (S), bronshjon (S, T), grönpyrola (S, T), rödgul trumpetsvamp (S), svavelriska (S), thomsons trägnagare (S), trådticka (S, T), vedticka (S, T), vågbandad barkbock (S), blåsippa (T, §9),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6.75 ha med buffertzonerna och får av detta skäl inte avverkas.</w:t>
      </w:r>
    </w:p>
    <w:p>
      <w:pPr>
        <w:pStyle w:val="Caption"/>
      </w:pPr>
      <w:r>
        <w:drawing>
          <wp:inline xmlns:a="http://schemas.openxmlformats.org/drawingml/2006/main" xmlns:pic="http://schemas.openxmlformats.org/drawingml/2006/picture">
            <wp:extent cx="5486400" cy="10313581"/>
            <wp:docPr id="2" name="Picture 2"/>
            <wp:cNvGraphicFramePr>
              <a:graphicFrameLocks noChangeAspect="1"/>
            </wp:cNvGraphicFramePr>
            <a:graphic>
              <a:graphicData uri="http://schemas.openxmlformats.org/drawingml/2006/picture">
                <pic:pic>
                  <pic:nvPicPr>
                    <pic:cNvPr id="0" name="A 260-2025 karta knärot.png"/>
                    <pic:cNvPicPr/>
                  </pic:nvPicPr>
                  <pic:blipFill>
                    <a:blip r:embed="rId17"/>
                    <a:stretch>
                      <a:fillRect/>
                    </a:stretch>
                  </pic:blipFill>
                  <pic:spPr>
                    <a:xfrm>
                      <a:off x="0" y="0"/>
                      <a:ext cx="5486400" cy="103135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6674202, E 651940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motaggsvamp (NT, T), nötkråka (NT, T, §4), rynkskinn (NT, T), ullticka (NT, T), vedtrappmossa (NT, T), vårärt (NT, T), bronshjon (S, T), grönpyrola (S, T), trådticka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