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43982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4398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24 meter från avverkningsanmälan finns fynd av 39 naturvårdsarter, varav 16 är rödlistade, 12 är fridlysta, 22 är typiska (T) och 17 är signalarter (S): duvspindling (VU), gränsticka (VU, T), knärot (VU, T, §8), mörk kådsvartspik (VU), ringlav (VU), ulltickeporing (VU), fjällig taggsvamp s.str. (NT), kattfotslav (NT, T), mindre hackspett (NT, T, §4), rynkskinn (NT, T), sårläka (NT, T), talltita (NT, §4), ullticka (NT, T), vedskivlav (NT, T), vedtrappmossa (NT, T), äggspindling (NT), anisspindling (S), björksplintborre (S), bronshjon (S, T), granbarkgnagare (S, T), grovticka (S, T), grön sköldmossa (S, T, §8), grönpyrola (S, T), jättesvampmal (S), kalktallört (S), korallrot (S, T, §8), nästrot (S, §8), plattlummer (S, T, §9), stubbspretmossa (S, T), thomsons trägnagare (S), tvåblad (S, §8), vedticka (S, T), vågbandad barkbock (S), blåsippa (T, §9), kransmossa (T), kärrbräken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73 fyndplatser för knärot registrerade på Artportalen. Figur 2 visar gränserna för buffertzoner på 50 m, som behöver lämnas kring fyndplatserna för att knärotslokalerna inte ska försvinna vid en avverkning. Av det avverkningsanmälda området överlappar 17.63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