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7203-2022 i Östhammars kommun</w:t>
      </w:r>
    </w:p>
    <w:p>
      <w:r>
        <w:t>Detta klagomål behandlar höga naturvärden i samrådsanmälan S 7203-2022 i Östhammars kommun som inkom 2022-12-23 och omfattar 3,3 ha.</w:t>
      </w:r>
    </w:p>
    <w:p>
      <w:pPr>
        <w:pStyle w:val="Caption"/>
      </w:pPr>
      <w:r>
        <w:drawing>
          <wp:inline xmlns:a="http://schemas.openxmlformats.org/drawingml/2006/main" xmlns:pic="http://schemas.openxmlformats.org/drawingml/2006/picture">
            <wp:extent cx="5176147" cy="5724000"/>
            <wp:docPr id="1" name="Picture 1"/>
            <wp:cNvGraphicFramePr>
              <a:graphicFrameLocks noChangeAspect="1"/>
            </wp:cNvGraphicFramePr>
            <a:graphic>
              <a:graphicData uri="http://schemas.openxmlformats.org/drawingml/2006/picture">
                <pic:pic>
                  <pic:nvPicPr>
                    <pic:cNvPr id="0" name="S 7203-2022 karta.png"/>
                    <pic:cNvPicPr/>
                  </pic:nvPicPr>
                  <pic:blipFill>
                    <a:blip r:embed="rId16"/>
                    <a:stretch>
                      <a:fillRect/>
                    </a:stretch>
                  </pic:blipFill>
                  <pic:spPr>
                    <a:xfrm>
                      <a:off x="0" y="0"/>
                      <a:ext cx="5176147" cy="5724000"/>
                    </a:xfrm>
                    <a:prstGeom prst="rect"/>
                  </pic:spPr>
                </pic:pic>
              </a:graphicData>
            </a:graphic>
          </wp:inline>
        </w:drawing>
      </w:r>
    </w:p>
    <w:p>
      <w:pPr>
        <w:pStyle w:val="Caption"/>
        <w:spacing w:after="240"/>
      </w:pPr>
      <w:r>
        <w:t>Figur 1. Fyndplatser för naturvårdsarter i och inom 23 meter från samrådsanmälan. Markörer utan svart kant är placerade på fyndplatsen. Markörer med svart kant är placerade vid sidan av fyndplatsen och har ett svart streck som visar fyndplatsens exakta position. Kartans mittpunktskoordinat är N 6678061, E 696520 i SWEREF 99 TM.</w:t>
      </w:r>
    </w:p>
    <w:p>
      <w:r>
        <w:t>I och inom 23 meter från samrådsanmälan finns fynd av 22 naturvårdsarter, varav 12 är rödlistade, 3 är fridlysta, 7 är typiska (T) och 10 är signalarter (S): hällebräcka (VU, §7), adam och eva (NT, §8), bleknande kamskivling (NT), fjällig taggsvamp s.str. (NT), grönsångare (NT, §4), lunglav (NT, T), oxtungssvamp (NT), slåtterfibbla (NT, T), solvända (NT), sårläka (NT, T), tårkragskivling (NT), vårärt (NT, T), blodvaxing (S), bårdlav (S, T), dofttråding (S), guldkremla (S), guldlockmossa (S, T), gulvaxing (S), hasselticka (S, T), hårjordtunga (S), toppvaxing (S) och ängsfingersvamp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Bleknande kamskivling (NT)</w:t>
      </w:r>
      <w:r>
        <w:t xml:space="preserve"> bildar mykorrhiza med ek på lerig kalkrik mark, i öppna solvarma lägen i hagmarker, lövängar och parker. En uppenbart sällsynt och iögonfallande art som växer i en väl undersökt och exklusiv miljö. Cirka hälften av de kända svenska växtplatserna finns på Gotland. Arten förefaller trivas i ljusa, halvöppna trädbestånd och har sannolikt gynnats av äldre tiders markanvändning inom jordbruket. Det är viktigt att ekbestånden, där arten finns, hålls hävdade så att ekarna inte dör på grund av igenväxning. Lokalerna får inte avverkas och planteras med andra trädslag (SLU Artdatabanken, 2026).</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Oxtungssvamp (NT)</w:t>
      </w:r>
      <w:r>
        <w:t xml:space="preserve"> växer nästan uteslutande på flerhundraåriga jätteekar i kulturlandskapet, till exempel i ekhagar och vid vägkanter, men kan även leva kvar på dess träd i mer slutna bestånd. Arten hotas av avverkning av värdträd och passande värdträd runt fyndplatserna samt av att olikåldriga bestånd med grov ek i hagmarks- och skogsmiljö avverkas (SLU Artdatabanken, 2024; Nitare &amp; Skogsstyrelsen, 2019).</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 xml:space="preserve">Tårkragskivling (NT) </w:t>
      </w:r>
      <w:r>
        <w:t>är knuten till stående levande eller döda aspar, ibland andra trädslag som alm och gran i äldre skogsbestånd med obruten kontinuitet av gamla aspar. Avverkning och gallring som missgynnar asp är ett hot mot arten. Lokaler där svampen är funnen måste skyddas eller brukas med iakttagande av artens behov. För att säkra artens fortbestånd i landet måste asp gynnas och bestånd av asp i raviner, branter och skogsbryn lämnas till fri utveckling. Likaså bör fler bestånd där alm ingår undantas från skogsbruk (SLU Artdatabanken, 2025).</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Hasselticka är typisk art för </w:t>
      </w:r>
      <w:r>
        <w:rPr>
          <w:i/>
        </w:rPr>
        <w:t xml:space="preserve">9020 Nordlig ädellövskog </w:t>
      </w:r>
      <w:r>
        <w:t xml:space="preserve">och </w:t>
      </w:r>
      <w:r>
        <w:rPr>
          <w:i/>
        </w:rPr>
        <w:t xml:space="preserve">9160 Näringsrik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samrådsanmälda skogsområdet har 22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22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