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33051-2021 i Östhammars kommun</w:t>
      </w:r>
    </w:p>
    <w:p>
      <w:r>
        <w:t>Detta klagomål behandlar höga naturvärden i avverkningsanmälan A 33051-2021 i Östhammars kommun som inkom 2021-06-29 och omfattar 3,0 ha.</w:t>
      </w:r>
    </w:p>
    <w:p>
      <w:pPr>
        <w:pStyle w:val="Caption"/>
      </w:pPr>
      <w:r>
        <w:drawing>
          <wp:inline xmlns:a="http://schemas.openxmlformats.org/drawingml/2006/main" xmlns:pic="http://schemas.openxmlformats.org/drawingml/2006/picture">
            <wp:extent cx="5486400" cy="4578556"/>
            <wp:docPr id="1" name="Picture 1"/>
            <wp:cNvGraphicFramePr>
              <a:graphicFrameLocks noChangeAspect="1"/>
            </wp:cNvGraphicFramePr>
            <a:graphic>
              <a:graphicData uri="http://schemas.openxmlformats.org/drawingml/2006/picture">
                <pic:pic>
                  <pic:nvPicPr>
                    <pic:cNvPr id="0" name="A 33051-2021 karta.png"/>
                    <pic:cNvPicPr/>
                  </pic:nvPicPr>
                  <pic:blipFill>
                    <a:blip r:embed="rId16"/>
                    <a:stretch>
                      <a:fillRect/>
                    </a:stretch>
                  </pic:blipFill>
                  <pic:spPr>
                    <a:xfrm>
                      <a:off x="0" y="0"/>
                      <a:ext cx="5486400" cy="4578556"/>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har ett svart streck som visar fyndplatsens exakta position. Kartans mittpunktskoordinat är N 6685344, E 683004 i SWEREF 99 TM.</w:t>
      </w:r>
    </w:p>
    <w:p>
      <w:r>
        <w:t>I och inom 24 meter från avverkningsanmälan finns fynd av 13 naturvårdsarter, varav 9 är rödlistade, 4 är typiska (T) och 4 är signalarter (S): fjällfotad fingersvamp (EN), gul lammticka (VU), gul taggsvamp (VU, T), blek fingersvamp (NT), gultoppig fingersvamp (NT), kryddspindling (NT, T), orange taggsvamp (NT, T), sotvaxskivling (NT), äggspindling (NT), anisspindling (S), guldkremla (S), kamjordstjärna (S) och trådticka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Fjällfotad fingersvamp (EN) </w:t>
      </w:r>
      <w:r>
        <w:t>är en mycket sällsynt och starkt hotad ”toppart” som</w:t>
      </w:r>
      <w:r>
        <w:rPr>
          <w:b/>
        </w:rPr>
        <w:t xml:space="preserve"> </w:t>
      </w:r>
      <w:r>
        <w:t>bildar mykorrhiza med gran i kalkbarrskog. Då arten förekommer i en produktiv skogsmiljö med långvarig trädkontinuitet bedöms svampens totala population ha minskat kraftigt under senare tid som följd av skogsbruksåtgärder. Samtliga växtplatser bör erhålla ett långsiktigt formellt skydd. Fjällfotad fingersvamp</w:t>
      </w:r>
      <w:r>
        <w:rPr>
          <w:b/>
        </w:rPr>
        <w:t xml:space="preserve"> </w:t>
      </w:r>
      <w:r>
        <w:t>är placerad högst upp i Skogsstyrelsens värdepyramid för bedömning av skog med höga naturvärden och globalt rödlistad som nära hotad (NT) vilket innebär att Sverige har ett internationellt ansvar för arten (SLU Artdatabanken, 2026; IUCN, 2019; Nitare &amp; Skogsstyrelsen, 2019).</w:t>
      </w:r>
    </w:p>
    <w:p>
      <w:r>
        <w:rPr>
          <w:b/>
        </w:rPr>
        <w:t>Gul lammticka (VU)</w:t>
      </w:r>
      <w:r>
        <w:t xml:space="preserve"> bildar mykorrhiza med gran och förekommer i örtrik barrskog på kalkrik mark. Arten är placerad högst upp i Skogsstyrelsens värdepyramid för bedömning av skog med höga naturvärden och indikerar alltid skyddsvärda kalkgranskogar med höga naturvärden. Svampen tål inte slutavverkning och lokaler med gul lammticka bör skyddas som biotopskyddsområden eller naturreservat och lämnas för fri utveckling (SLU Artdatabanken, 2024; Nitare &amp; Skogsstyrelsen, 2019).</w:t>
      </w:r>
    </w:p>
    <w:p>
      <w:r>
        <w:rPr>
          <w:b/>
        </w:rPr>
        <w:t xml:space="preserve">Gul taggsvamp (VU) </w:t>
      </w:r>
      <w:r>
        <w:t xml:space="preserve">bildar mykorrhiza med gran i äldre barrskog med lång kontinuitet. Förekommer på kalkrik eller annan basiskt påverkad mark, ofta i källpåverkade miljöer. Den totala populationen i landet har minskat kraftigt och bedöms fortsätta minska till följd av avverkning av äldre barrskog med lång trädkontinuitet. Minskningstakten överstiger gränsvärdet för sårbar (VU). Arten tål inte en slutavverkning utan kräver ett kontinuerligt äldre trädskikt med gran. Slutavverkning, kraftig gallring och skogsmarksgödsling måste helt undvikas och lokalerna bör skyddas formellt. Gul taggsvamp är typisk art för </w:t>
      </w:r>
      <w:r>
        <w:rPr>
          <w:i/>
        </w:rPr>
        <w:t>9050 Näringsrik granskog</w:t>
      </w:r>
      <w:r>
        <w:t xml:space="preserve"> (SLU Artdatabanken, 2026).</w:t>
      </w:r>
    </w:p>
    <w:p>
      <w:r>
        <w:rPr>
          <w:b/>
        </w:rPr>
        <w:t xml:space="preserve">Blek fingersvamp (NT) </w:t>
      </w:r>
      <w:r>
        <w:t>bildar mykorrhiza med dels gran i ängsgranskog men även under bok, ek och avenbok i ädellövskog. Arten är känslig för olika skogsbruksåtgärder och därför på tillbakagång såväl i Sverige som i andra europeiska länder. Arten hotas främst av slutavverkning och andra skogsbruksåtgärder. Arten tål inte en slutavverkning och sannolikt inte heller en kraftig gallring. Skogsområden med arten bör undantas från storskaligt skogsbruk. Slutavverkning, kraftig gallring och skogsgödsling måste helt undvikas, liksom körning med tunga maskiner (SLU Artdatabanken, 2024; Nitare &amp; Skogsstyrelsen, 2019).</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Kryddspindling (NT)</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Den totala populationen i landet har minskat och bedöms fortsätta minska till följd av avverkning av äldre barrskogar. Kryddspindling är typisk art för </w:t>
      </w:r>
      <w:r>
        <w:rPr>
          <w:i/>
        </w:rPr>
        <w:t xml:space="preserve">9050 Näringsrik granskog </w:t>
      </w:r>
      <w:r>
        <w:t>(Nitare &amp; Skogsstyrelsen, 2000; 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Sotvaxskivling (NT)</w:t>
      </w:r>
      <w:r>
        <w:t xml:space="preserve"> bildar mykorrhiza med gran och tall i barrskogar med lång trädkontinuitet. Den totala populationen i landet har minskat och bedöms fortsätta minska till följd av avverkning av äldre barrskogar. Arten har begränsad förmåga att återetablera sig efter slutavverkning eller andra storskaliga skogsbruksåtgärder. Det finns inga indikationer på att den långsiktigt kan etablera eller reproducera sig i skogsbestånd som brukas med trakthyggesmetoder, markberedning, gödsling eller föryngring med förädlat plantmaterial (SLU Artdatabanken, 2026).</w:t>
      </w:r>
    </w:p>
    <w:p>
      <w:r>
        <w:rPr>
          <w:b/>
        </w:rPr>
        <w:t xml:space="preserve">Äggspindling (NT) </w:t>
      </w:r>
      <w:r>
        <w:t>bildar mykorrhiza med gran i äldre ängsgranskog på kalkrik mark och kräver sannolikt lång kontinuitet av äldre träd. Arten bedöms ha minskat med mer än 15 % över de senaste 50 åren, p.g.a. slutavverkning av äldre skog och minskningstakten för den svenska populationen bedöms vara nära gränsvärdet för Sårbar (VU). (A2c+3c+4c). På artens växtplatser måste skogsbruk ske med stor försiktighet eftersom de ofta innehåller ett stort antal sällsynta och hotade arter. Lokaler med rika förekomster bör betraktas som nyckelbiotoper och helt undantas från avverkning. Äggspindling är globalt rödlistad som nära hotad (NT) vilket innebär att Sverige har ett internationellt ansvar för arten (SLU Artdatabanken, 2024; Nitare &amp; Skogsstyrelsen, 2019; IUCN,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