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48241-2024 i Östhammars kommun</w:t>
      </w:r>
    </w:p>
    <w:p>
      <w:r>
        <w:t>Detta dokument behandlar höga naturvärden i avverkningsanmälan A 48241-2024 i Östhammars kommun. Denna avverkningsanmälan inkom 2024-10-25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ål (CR), grönfink (EN, §4), gölgroda (VU, §4a), stare (VU, §4), drillsnäppa (NT, §4), gulsparv (NT, §4), havsörn (NT, §4), kråka (NT, §4), rörsångare (NT, §4), skrattmås (NT, §4), spillkråka (NT, §4), svart rödstjärt (NT, §4), talltita (NT, §4), ärtsångare (NT, §4), tvåblad (S, §8), citronfläckad kärrtrollslända (§4a), större vattensalamander (§4a), sångsvan (§4), mindre vattensalamander (§6), vanlig groda (§6), vanlig padda (§6), vanlig snok (§6), nattviol (§8)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8241-2024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6700306, E 675379 i SWEREF 99 TM.</w:t>
      </w:r>
    </w:p>
    <w:p>
      <w:pPr>
        <w:pStyle w:val="Heading1"/>
      </w:pPr>
      <w:r>
        <w:t>Fridlysta arter</w:t>
      </w:r>
    </w:p>
    <w:p>
      <w:r>
        <w:t>Följande fridlysta arter har sina livsmiljöer och växtplatser i den avverkningsanmälda skogen: grönfink (EN, §4), gölgroda (VU, §4a), stare (VU, §4), drillsnäppa (NT, §4), gulsparv (NT, §4), havsörn (NT, §4), kråka (NT, §4), rörsångare (NT, §4), skrattmås (NT, §4), spillkråka (NT, §4), svart rödstjärt (NT, §4), talltita (NT, §4), ärtsångare (NT, §4), tvåblad (S, §8), citronfläckad kärrtrollslända (§4a), större vattensalamander (§4a), sångsvan (§4), mindre vattensalamander (§6), vanlig groda (§6), vanlig padda (§6), vanlig snok (§6),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