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49337-2025 i Vingåkers kommun</w:t>
      </w:r>
    </w:p>
    <w:p>
      <w:r>
        <w:t>Detta dokument behandlar höga naturvärden i avverkningsanmälan A 49337-2025 i Vingåkers kommun. Denna avverkningsanmälan inkom 2025-10-08 14:06:55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backsvala (VU,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9337-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6539994, E 551348 i SWEREF 99 TM.</w:t>
      </w:r>
    </w:p>
    <w:p>
      <w:pPr>
        <w:pStyle w:val="Heading1"/>
      </w:pPr>
      <w:r>
        <w:t>Fridlysta arter</w:t>
      </w:r>
    </w:p>
    <w:p>
      <w:r>
        <w:t>Följande fridlysta arter har sina livsmiljöer och växtplatser i den avverkningsanmälda skogen: backsvala (VU,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