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54381-2023 i Vingåkers kommun</w:t>
      </w:r>
    </w:p>
    <w:p>
      <w:r>
        <w:t>Detta klagomål behandlar höga naturvärden i avverkningsanmälan A 54381-2023 i Vingåkers kommun som inkom 2023-10-27 och omfattar 10,7 ha.</w:t>
      </w:r>
    </w:p>
    <w:p>
      <w:pPr>
        <w:pStyle w:val="Caption"/>
      </w:pPr>
      <w:r>
        <w:drawing>
          <wp:inline xmlns:a="http://schemas.openxmlformats.org/drawingml/2006/main" xmlns:pic="http://schemas.openxmlformats.org/drawingml/2006/picture">
            <wp:extent cx="5486400" cy="5705102"/>
            <wp:docPr id="1" name="Picture 1"/>
            <wp:cNvGraphicFramePr>
              <a:graphicFrameLocks noChangeAspect="1"/>
            </wp:cNvGraphicFramePr>
            <a:graphic>
              <a:graphicData uri="http://schemas.openxmlformats.org/drawingml/2006/picture">
                <pic:pic>
                  <pic:nvPicPr>
                    <pic:cNvPr id="0" name="A 54381-2023 karta.png"/>
                    <pic:cNvPicPr/>
                  </pic:nvPicPr>
                  <pic:blipFill>
                    <a:blip r:embed="rId16"/>
                    <a:stretch>
                      <a:fillRect/>
                    </a:stretch>
                  </pic:blipFill>
                  <pic:spPr>
                    <a:xfrm>
                      <a:off x="0" y="0"/>
                      <a:ext cx="5486400" cy="570510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6557509, E 553278 i SWEREF 99 TM.</w:t>
      </w:r>
    </w:p>
    <w:p>
      <w:r>
        <w:t>I och inom 25 meter från avverkningsanmälan finns fynd av 12 naturvårdsarter, varav 5 är rödlistade, 3 är fridlysta, 4 är typiska (T) och 5 är signalarter (S): brandtaggsvamp (EN), björktrast (NT, §4), fjällig taggsvamp s.str. (NT), orange taggsvamp (NT, T), älg (NT), blodvaxing (S), hasselticka (S, T), rödgul trumpetsvamp (S), svart trolldruva (S, T), svavelriska (S),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