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53847-2025 i Vingåkers kommun</w:t>
      </w:r>
    </w:p>
    <w:p>
      <w:r>
        <w:t>Detta klagomål behandlar höga naturvärden i avverkningsanmälan A 53847-2025 i Vingåkers kommun som inkom 2025-10-31 och omfattar 9,2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53847-2025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har ett svart streck som visar fyndplatsens exakta position. Kartans mittpunktskoordinat är N 6535591, E 543296 i SWEREF 99 TM.</w:t>
      </w:r>
    </w:p>
    <w:p>
      <w:r>
        <w:t>I och inom 4 meter från avverkningsanmälan finns fynd av 8 naturvårdsarter, varav 6 är rödlistade, 7 är typiska (T) och 2 är signalarter (S): vedspik (VU), dropptaggsvamp (NT, T), dvärgbägarlav (NT, T), motaggsvamp (NT, T), vedskivlav (NT, T), vedtrappmossa (NT, T), flagellkvastmossa (S, T) och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Vedspik (VU)</w:t>
      </w:r>
      <w:r>
        <w:t xml:space="preserve"> förekommer nästan uteslutande på gammal obehandlad ved. Den finns dels på kulturskapade ståndorter som stängsel, väggar av trälador etc., dels på naturliga ståndorter som olikåldriga skogar eller hagmarker med lång trädkontinuitet. Här förekommer arten på stubbar och avbarkade partier av barr- och lövträd som fortfarande lever och står upp. Den kan också växa på grova nedfallna grenar. Bristen på nedfallna grova grenar, högstubbar och torrakor i dagens skogar är ett hot. I skogar och myrkanter med arten måste högstubbar och torrakor finnas i tillräcklig mängd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