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13073-2023 i Vingåkers kommun</w:t>
      </w:r>
    </w:p>
    <w:p>
      <w:r>
        <w:t>Denna tillsynsbegäran behandlar höga naturvärden i avverkningsanmälan A 13073-2023 i Vingåkers kommun som inkom 2023-03-16 och omfattar 5,4 ha.</w:t>
      </w:r>
    </w:p>
    <w:p>
      <w:pPr>
        <w:pStyle w:val="Caption"/>
      </w:pPr>
      <w:r>
        <w:drawing>
          <wp:inline xmlns:a="http://schemas.openxmlformats.org/drawingml/2006/main" xmlns:pic="http://schemas.openxmlformats.org/drawingml/2006/picture">
            <wp:extent cx="5247902" cy="5724000"/>
            <wp:docPr id="1" name="Picture 1"/>
            <wp:cNvGraphicFramePr>
              <a:graphicFrameLocks noChangeAspect="1"/>
            </wp:cNvGraphicFramePr>
            <a:graphic>
              <a:graphicData uri="http://schemas.openxmlformats.org/drawingml/2006/picture">
                <pic:pic>
                  <pic:nvPicPr>
                    <pic:cNvPr id="0" name="A 13073-2023 karta.png"/>
                    <pic:cNvPicPr/>
                  </pic:nvPicPr>
                  <pic:blipFill>
                    <a:blip r:embed="rId16"/>
                    <a:stretch>
                      <a:fillRect/>
                    </a:stretch>
                  </pic:blipFill>
                  <pic:spPr>
                    <a:xfrm>
                      <a:off x="0" y="0"/>
                      <a:ext cx="524790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6541118, E 560465 i SWEREF 99 TM.</w:t>
      </w:r>
    </w:p>
    <w:p>
      <w:r>
        <w:t>I och inom 22 meter från avverkningsanmälan finns fynd av 11 naturvårdsarter, varav 4 är rödlistade, 10 är fridlysta och 2 är typiska (T): drillsnäppa (NT, §4), göktyta (NT, §4), ladusvala (NT, §4), tallticka (NT, T), spillkråka (T, §4), gröngöling (§4), grönsiska (§4), kråka (§4), kungsfågel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