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54381-2023 i Vingåkers kommun</w:t>
      </w:r>
    </w:p>
    <w:p>
      <w:r>
        <w:t>Detta dokument behandlar höga naturvärden i avverkningsanmälan A 54381-2023 i Vingåkers kommun som inkom 2023-10-27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12 naturvårdsarter hittats: brandtaggsvamp (EN), björktrast (NT, §4), fjällig taggsvamp s.str. (NT), orange taggsvamp (NT, T), älg (NT), blodvaxing (S), hasselticka (S, T), rödgul trumpetsvamp (S), svart trolldruva (S, T), svavelriska (S), blåsippa (T, §9) och gullviva (§9).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69954" cy="5688000"/>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69954" cy="568800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6557509, E 553278 i SWEREF 99 TM.</w:t>
      </w:r>
    </w:p>
    <w:p>
      <w:pPr>
        <w:pStyle w:val="Heading2"/>
      </w:pPr>
      <w:r>
        <w:t>Fridlysta arter</w:t>
      </w:r>
    </w:p>
    <w:p>
      <w:r>
        <w:t>Följande fridlysta arter har sina livsmiljöer och växtplatser i den avverkningsanmälda skogen: björktrast (NT, §4), blåsippa (T,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2"/>
      </w:pPr>
      <w:r>
        <w:t>Övriga naturvårdsarter</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