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53847-2025 i Vingåkers kommun</w:t>
      </w:r>
    </w:p>
    <w:p>
      <w:r>
        <w:t>Detta dokument behandlar höga naturvärden i avverkningsanmälan A 53847-2025 i Vingåkers kommun. Denna avverkningsanmälan inkom 2025-10-31 08:49:14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vedspik (VU), dvärgbägarlav (NT), vedskivlav (NT), vedtrappmossa (NT), dropptaggsvamp (S), flagellkvastmossa (S) och granbarkgnagare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3847-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6535591, E 543296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Vedspik (VU)</w:t>
      </w:r>
      <w:r>
        <w:t xml:space="preserve"> förekommer nästan uteslutande på gammal obehandlad ved. Den finns dels på kulturskapade ståndorter som stängsel, väggar av trälador etc., dels på naturliga ståndorter som olikåldriga skogar eller hagmarker med lång trädkontinuitet. Här förekommer arten på stubbar och avbarkade partier av barr- och lövträd som fortfarande lever och står upp. Den kan också växa på grova nedfallna grenar. Bristen på nedfallna grova grenar, högstubbar och torrakor i dagens skogar är ett hot. I skogar och myrkanter med arten måste högstubbar och torrakor finnas i tillräcklig mängd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