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26357-2025 i Gnesta kommun</w:t>
      </w:r>
    </w:p>
    <w:p>
      <w:r>
        <w:t>Detta dokument behandlar höga naturvärden i avverkningsanmälan A 26357-2025 i Gnesta kommun. Denna avverkningsanmälan inkom 2025-05-29 och omfattar 57,5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16 naturvårdsarter hittats: entita (NT, §4), mindre hackspett (NT, §4), spillkråka (NT, §4), tallticka (NT), ullticka (NT), vedtrappmossa (NT), björksplintborre (S), brandticka (S), bronshjon (S), grön sköldmossa (S, §8), grönpyrola (S), vågbandad barkbock (S), kungsfågel (§4), fläcknycklar (§8), mattlummer (§9) och revlummer (§9). Av dessa är 6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140997"/>
            <wp:docPr id="1" name="Picture 1"/>
            <wp:cNvGraphicFramePr>
              <a:graphicFrameLocks noChangeAspect="1"/>
            </wp:cNvGraphicFramePr>
            <a:graphic>
              <a:graphicData uri="http://schemas.openxmlformats.org/drawingml/2006/picture">
                <pic:pic>
                  <pic:nvPicPr>
                    <pic:cNvPr id="0" name="A 26357-2025 karta.png"/>
                    <pic:cNvPicPr/>
                  </pic:nvPicPr>
                  <pic:blipFill>
                    <a:blip r:embed="rId16"/>
                    <a:stretch>
                      <a:fillRect/>
                    </a:stretch>
                  </pic:blipFill>
                  <pic:spPr>
                    <a:xfrm>
                      <a:off x="0" y="0"/>
                      <a:ext cx="5486400" cy="414099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6562719, E 616944 i SWEREF 99 TM.</w:t>
      </w:r>
    </w:p>
    <w:p>
      <w:r>
        <w:rPr>
          <w:b/>
        </w:rPr>
        <w:t xml:space="preserve">Grönpyrola </w:t>
      </w:r>
      <w:r>
        <w:t>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(Nitare &amp; Skogsstyrelsen, 2019).</w:t>
      </w:r>
    </w:p>
    <w:p>
      <w:r>
        <w:rPr>
          <w:b/>
        </w:rPr>
        <w:t xml:space="preserve">Tallticka (NT) </w:t>
      </w:r>
      <w:r>
        <w:t>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(SLU Artdatabanken, 2023;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p>
      <w:r>
        <w:rPr>
          <w:b/>
        </w:rPr>
        <w:t xml:space="preserve">Vedtrappmossa (NT) </w:t>
      </w:r>
      <w:r>
        <w:t>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(SLU Artdatabanken, 2024).</w:t>
      </w:r>
    </w:p>
    <w:p>
      <w:pPr>
        <w:pStyle w:val="Heading1"/>
      </w:pPr>
      <w:r>
        <w:t>Fridlysta arter</w:t>
      </w:r>
    </w:p>
    <w:p>
      <w:r>
        <w:t>Följande fridlysta arter har sina livsmiljöer och växtplatser i den avverkningsanmälda skogen: entita (NT, §4), mindre hackspett (NT, §4), spillkråka (NT, §4), grön sköldmossa (S, §8), kungsfågel (§4), fläcknycklar (§8), mattlummer (§9) och revlummer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Entita (NT, §4)</w:t>
      </w:r>
      <w:r>
        <w:t>, rödlistad som nära hotad och prioriterad art i Skogsvårdslagen, har häckningsrevir i anmälan. Minskningstakten innevarande 10-årsperiod beräknas till 20 (10–30) %. Entitan är ortstrogen och reviret är i genomsnitt omkring 5 hektar, ibland uppåt 20 hektar stort. Entitan är en utpräglad lövskogsfågel som föredrar flerskiktade, gärna högvuxna skogar med inslag av äldre träd och välutvecklat buskskikt. Även alkärr med videsnår hör till de miljöer som utnyttjas. Arten häckar ofta i skogar som är svagt eller inte alls påverkade av skogsbruk, ofta rör det sig om värdekärnor med höga naturvärden. Entitan missgynnas av konventionellt skogsbruk och dess ortstrohet och dåliga spridningsförmåga gör den känslig för fragmentering (Skogsstyrelsen, 2016, SLU Artdatabanken, 2021).</w:t>
      </w:r>
    </w:p>
    <w:p>
      <w:r>
        <w:rPr>
          <w:b/>
        </w:rPr>
        <w:t>Grön sköldmossa (§8)</w:t>
      </w:r>
      <w:r>
        <w:t xml:space="preserve"> omfattas av EU:s art- och habitatdirektiv bilaga 2 vilket innebär att det  finns ett uttalat intresse inom Europeiska unionen att bevara arten. Grön sköldmossa kräver skog som har ett speciellt mikroklimat med hög och jämn luftfuktighet i kombination med rik tillgång på död ved (Nitare, 2019). I praktiken handlar det om åtminstone 50 meter med skyddande skog för att undvika uttorkning av marken (Hallingbäck, personligt meddelande 2022-02-24). Grön sköldmossa är en ansvarsart för Sverige då en särskilt stor andel av Europas population finns i landet. Mark- och miljööverdomstolen (MÖD) har i mål nr M 2019-20 (18 februari 2019) slagit fast att grön sköldmossa (§8) är dispenspliktig och att exemplar av arten inte får skadas utan dispens (MÖD, mål nr M 2019-20).</w:t>
      </w:r>
    </w:p>
    <w:p>
      <w:r>
        <w:rPr>
          <w:b/>
        </w:rPr>
        <w:t>Mindre hackspett (NT, §4)</w:t>
      </w:r>
      <w:r>
        <w:t xml:space="preserve"> är rödlistad som nära hotad, fridlyst och prioriterad art i Skogsvårdslagen. Minskningstakten har uppgått till 25 (10–40) % under de senaste 15 åren och bedöms vara nära gränsvärdet för Sårbar (VU). (A2bc). Arten har stora revir och höga krav när det gäller förekomst av lövskog på landskapsnivå. För att häcka framgångsrikt behöver ett par cirka 40 ha äldre lövdominerad skog inom ett område på upp till 200 ha. Under vintern kan födosök även ske i äldre grandominerad skog (SLU Artdatabanken, 2021 &amp; Skogsstyrelsen, 2016).</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r>
        <w:br w:type="page"/>
      </w:r>
    </w:p>
    <w:p>
      <w:pPr>
        <w:pStyle w:val="Title"/>
      </w:pPr>
      <w:r>
        <w:t>BILAGA 1 – Fridlysta arter</w:t>
      </w:r>
    </w:p>
    <w:p>
      <w:pPr>
        <w:pStyle w:val="Heading1"/>
      </w:pPr>
      <w:r>
        <w:t>Entita – ekologi samt krav på livsmiljön</w:t>
      </w:r>
    </w:p>
    <w:p>
      <w:r>
        <w:t>Entita (NT, §4) är rödlistad som nära hotad, fridlyst och prioriterad art enligt Skogsvårdslagen. Den omfattas av EU:s fågeldirektiv. Minskningstakten har uppgått till 20 (10–30) % under de senaste 10 åren och bedöms vara nära gränsvärdet för Sårbar (VU). (A2b) (SLU Artdatabanken, 2021).</w:t>
      </w:r>
    </w:p>
    <w:p>
      <w:r>
        <w:t>Entitan är en utpräglad lövskogsfågel som påträffas i ädellövskogar, strandskogar, ekhagar, igenväxande hagmarker, lövdungar, parker och trädgårdar. Den föredrar flerskiktade, gärna högvuxna skogar med inslag av äldre träd och med ett välutvecklat buskskikt. Ek- och hasseldominerade skogar och dungar, samt alkärr med videsnår, hör till de miljöer som ofta utnyttjas. I sydligaste Sverige är bokskog en viktig miljö (Skogsstyrelsen, 2016).</w:t>
      </w:r>
    </w:p>
    <w:p>
      <w:r>
        <w:t>Reviren är relativt stora för en småfågel, i genomsnitt omkring 5 hektar men de kan vara upp till 20 hektar. Entitan är en utpräglad stannfågel och rör sig inte långt från kläckningsplatsen; ungfåglarna sprider sig sällan mer än 5 km från födelseplatsen och etablerade fåglar lämnar därefter inte sitt revir (Skogsstyrelsen, 2016). Det häckande paret försvarar sitt revir året runt. De tillåter dock en grupp av ungfåglar att etablera sig inom deras revir och så bildas en vinterflock, vilket sker redan i juni månad. Även under kalla vintrar stannar entitan kvar inom sitt revir. Hittar man entitor vid sitt foderbord beror det på att fågelmatningen ligger inom ett entiterevir (SLU Artdatabanken, 2021). Arten är känslig för fragmentering och har svårt att etablera sig i isolerade skogsområden. Entitan är hålhäckare, men kan inte själv hacka fram sitt hål utan är beroende av miljöer som erbjuder naturliga hål (Skogsstyrelsen, 2016).</w:t>
      </w:r>
    </w:p>
    <w:p>
      <w:r>
        <w:t>Arten häckar ofta i skogar som är svagt eller inte alls påverkade av skogsbruk. Särskilt i Svealand ofta i skogar som har höga naturvärden och utgör skogliga värdekärnor. Entitan missgynnas av konventionellt skogsbruk genom minskad förekomst av risiga, flerskiktade skogar liksom av avverkning av lövträdsrika kantzoner. Entitans ortstrohet och dåliga spridningsförmåga gör den känslig för fragmentering (Skogsstyrelsen, 2016).</w:t>
      </w:r>
    </w:p>
    <w:p>
      <w:pPr>
        <w:pStyle w:val="Heading2"/>
      </w:pPr>
      <w:r>
        <w:t>Referenser – entita</w:t>
      </w:r>
    </w:p>
    <w:p>
      <w:r>
        <w:t xml:space="preserve">Skogsstyrelsen, 2016. </w:t>
      </w:r>
      <w:r>
        <w:rPr>
          <w:i/>
        </w:rPr>
        <w:t xml:space="preserve">Vägledning för hänsyn till entita. </w:t>
      </w:r>
      <w:r>
        <w:t>https://www.skogsstyrelsen.se/globalassets/lag-och-tillsyn/artskydd/vagledningar-for-hansyn-till-faglar/entita-vagledning-hansyn2.pdf</w:t>
      </w:r>
    </w:p>
    <w:p>
      <w:r>
        <w:t xml:space="preserve">SLU Artdatabanken, 2021. </w:t>
      </w:r>
      <w:r>
        <w:rPr>
          <w:i/>
        </w:rPr>
        <w:t xml:space="preserve">Artfaktablad. Naturvård – artfakta. </w:t>
      </w:r>
      <w:r>
        <w:t>SLU Artdatabanken, Uppsala</w:t>
      </w:r>
    </w:p>
    <w:p>
      <w:pPr>
        <w:pStyle w:val="Heading1"/>
      </w:pPr>
      <w:r>
        <w:t>Grön sköldmossa – ekologi samt krav på livsmiljön</w:t>
      </w:r>
    </w:p>
    <w:p>
      <w:r>
        <w:t>Grön sköldmossa, fridlyst enligt 8§ artskyddsförordningen, växer på stubbar och lågor av olika trädslag, huvudsakligen i sena nedbrytningsstadier och på och mellan grova rötter av levande och döda träd. Den förekommer i Sverige främst i näringsrika granskogar med stort inslag av löv, arten är kortlivad och antalet kapslar varierar kraftigt mellan olika år (SLU Artdatabanken, 2021). Grön sköldmossa kräver skog som har ett speciellt mikroklimat med hög och jämn luftfuktighet i kombination med rik tillgång på död ved (Nitare, 2019). I praktiken handlar det om åtminstone 50 meter med skyddande skog för att undvika uttorkning av marken (Hallingbäck, personligt meddelande 2022-02-24).</w:t>
      </w:r>
    </w:p>
    <w:p>
      <w:r>
        <w:t>Arten har sin huvudutbredning i sydöstra Sverige (SLU Artdatabanken, 2021). Allvarligaste hoten mot arten är skogsavverkning och brist på död ved. Brist på naturligt döda träd i dagens produktionsskogar gör att arten blir allt sällsyntare (Hallingbäck, 2016). Död ved i större mängd bör lämnas och träd tillåtas åldras och dö för att skapa kontinuerlig tillgång på livsmiljöer. Träd och livsmiljö bör skyddas genom att lämna trädgrupper, ytor eller zoner (SLU Artdatabanken, 2021).</w:t>
      </w:r>
    </w:p>
    <w:p>
      <w:r>
        <w:t>Grön sköldmossa är upptagen i EU:s Habitatdirektiv bilaga 2 vilket innebär att det  finns ett uttalat intresse inom Europeiska unionen att bevara arten. Grön sköldmossa är en ansvarsart för Sverige då en särskilt stor andel av Europas population finns i landet. Förutom i östra Sverige har arten inga större sammanhängande utbredningar med gynnsam bevarandestatus söderut i Europa förrän i Montenegro. Det finns enbart liten förekomst med gynnsam regional bevarandestatus i södra Frankrike och södra Polen. Grön sköldmossa är typisk art för 9010 Taiga och 9750 Svämlövskog (Natura 2000) och omfattas även av Bernkonventionen bilaga 1.</w:t>
      </w:r>
    </w:p>
    <w:p>
      <w:r>
        <w:t>Fridlysningen enligt §§ 8 och 15 Artskyddsförordningen innebär att det är förbjudet att på något sätt skada exemplar av arten. Artskyddsförordning (2007:845):</w:t>
      </w:r>
    </w:p>
    <w:p>
      <w:pPr>
        <w:pStyle w:val="ListBullet"/>
      </w:pPr>
      <w:r>
        <w:t>8 § I fråga om sådana vilt levande kärlväxter, mossor, lavar, svampar och alger som anges i bilaga 2 till denna förordning är det förbjudet att i den omfattning som framgår av bilagan 1. plocka, gräva upp eller på annat sätt ta bort eller skada exemplar av växterna, och 2. ta bort eller skada frön eller andra delar.</w:t>
      </w:r>
    </w:p>
    <w:p>
      <w:pPr>
        <w:pStyle w:val="ListBullet"/>
      </w:pPr>
      <w:r>
        <w:t>15 § Länsstyrelsen får i det enskilda fallet ge dispens från förbuden i 6, 8 och 9 §§ som avser länet eller del av länet, om det inte finns någon annan lämplig lösning och dispensen inte försvårar upprätthållandet av en gynnsam bevarandestatus hos artens bestånd i dess naturliga utbredningsområde.</w:t>
      </w:r>
    </w:p>
    <w:p>
      <w:r>
        <w:t>Grön sköldmossa är även listad som B i Artskyddsförordningen vilket innebär att den är en art av unionsintresse:</w:t>
      </w:r>
    </w:p>
    <w:p>
      <w:pPr>
        <w:pStyle w:val="ListBullet"/>
      </w:pPr>
      <w:r>
        <w:t>B: Arten har enligt fågeldirektivet eller art- och habitatdirektivet ett sådant unionsintresse att särskilda skyddsområden (fågeldirektivet) eller bevarandeområden (art- och habitatdirektivet) behöver utses. Arten finns upptagen i bilaga 1 till fågeldirektivet eller bilaga 2 till art- och habitatdirektivet.</w:t>
      </w:r>
    </w:p>
    <w:p>
      <w:r>
        <w:t>Mark- och miljööverdomstolen (MÖD) har i mål nr M 2019-20 (18 februari 2019) slagit fast att grön sköldmossa (§8) är dispenspliktig och att exemplar av arten inte får skadas utan dispens (MÖD, mål nr M 2019-20).</w:t>
      </w:r>
    </w:p>
    <w:p>
      <w:pPr>
        <w:pStyle w:val="Heading2"/>
      </w:pPr>
      <w:r>
        <w:t>Referenser – grön sköldmossa</w:t>
      </w:r>
    </w:p>
    <w:p>
      <w:r>
        <w:t xml:space="preserve">Hallingbäck T., 2016. </w:t>
      </w:r>
      <w:r>
        <w:rPr>
          <w:i/>
        </w:rPr>
        <w:t xml:space="preserve">Mossor en fältguide. </w:t>
      </w:r>
      <w:r>
        <w:t>Naturcentrum.</w:t>
      </w:r>
    </w:p>
    <w:p>
      <w:r>
        <w:t xml:space="preserve">Hallingbäck T., 2022. </w:t>
      </w:r>
      <w:r>
        <w:rPr>
          <w:i/>
        </w:rPr>
        <w:t xml:space="preserve">Personligt meddelande 2022-02-24. </w:t>
      </w:r>
      <w:r>
        <w:t>SLU Artdatabanken. Se nedan.</w:t>
      </w:r>
    </w:p>
    <w:p>
      <w:r>
        <w:t xml:space="preserve">Mark- och miljööverdomstolen. </w:t>
      </w:r>
      <w:r>
        <w:rPr>
          <w:i/>
        </w:rPr>
        <w:t xml:space="preserve">Dom 18 februari 2019 i mål nr M 2019-20 </w:t>
      </w:r>
      <w:r>
        <w:t>(MÖD, mål nr M 2019-20)</w:t>
      </w:r>
    </w:p>
    <w:p>
      <w:r>
        <w:t xml:space="preserve">Nitare, J., 2019. </w:t>
      </w:r>
      <w:r>
        <w:rPr>
          <w:i/>
        </w:rPr>
        <w:t xml:space="preserve">Skyddsvärd skog – Naturvårdsarter och andra kriterier för naturvärdesbedömning. </w:t>
      </w:r>
      <w:r>
        <w:t>Skogsstyrelsen.</w:t>
      </w:r>
    </w:p>
    <w:p>
      <w:r>
        <w:t xml:space="preserve">SLU Artdatabanken, 2021. </w:t>
      </w:r>
      <w:r>
        <w:rPr>
          <w:i/>
        </w:rPr>
        <w:t xml:space="preserve">Artfaktablad. Naturvård – artfakta. </w:t>
      </w:r>
      <w:r>
        <w:t>SLU Artdatabanken, Uppsala</w:t>
      </w:r>
    </w:p>
    <w:p>
      <w:r>
        <w:t>Hallingbäck, personligt meddelande 2022-02-24</w:t>
      </w:r>
    </w:p>
    <w:p>
      <w:pPr>
        <w:jc w:val="left"/>
      </w:pPr>
      <w:r>
        <w:t>Från: Tomas Hallingbäck &lt;Tomas.Hallingback@slu.se&gt;</w:t>
        <w:br/>
        <w:t>Date: tors 24 feb. 2022 kl 17:49</w:t>
        <w:br/>
        <w:t>Subject: Re: Grön sköldmossa</w:t>
        <w:br/>
        <w:t>To: Magnus Kasselstrand &lt;magnus.kasselstrand@gmail.com&gt;</w:t>
      </w:r>
    </w:p>
    <w:p>
      <w:r>
        <w:t>Hej Magnus,</w:t>
      </w:r>
    </w:p>
    <w:p>
      <w:r>
        <w:t>Tyvärr finns inga studier på just detta, men uttorkning av underlaget är en starkt negativ faktor för grön sköldmossa, och jag brukar hänvisa till lokalklimatiska studier som visar att skyddskappan för att förhindra uttorkning av marken ligger på minst tre trädlängder skog (för plan mark), kortare för kuperad terräng, och detta blir i praktiken åtminstone 50 meter.</w:t>
      </w:r>
    </w:p>
    <w:p>
      <w:r>
        <w:t>MVH</w:t>
        <w:br/>
        <w:t>Tomas Hallingbäck</w:t>
      </w:r>
    </w:p>
    <w:p>
      <w:pPr>
        <w:pStyle w:val="Heading1"/>
      </w:pPr>
      <w:r>
        <w:t>Mindre hackspett – ekologi samt krav på livsmiljön</w:t>
      </w:r>
    </w:p>
    <w:p>
      <w:r>
        <w:t>Mindre hackspett (NT) är rödlistad som nära hotad, fridlyst och prioriterad art i Skogsvårdslagen. Minskningstakten har uppgått till 25 (10–40) % under de senaste 15 åren och bedöms vara nära gränsvärdet för Sårbar (VU). (A2bc). (SLU Artdatabanken 2021).</w:t>
      </w:r>
    </w:p>
    <w:p>
      <w:r>
        <w:t>Den mindre hackspetten lever i löv- och blandskog med förekomst av äldre lövträd, gärna ädellövträd i södra Sverige. Norrut förekommer arten i gamla löv- och blandskogar med al, björk och asp. Ett mycket glest bestånd förekommer i fjällbjörkskogen. Under vintern kan födosök ske även i äldre grandominerad skog, troligen för att den ger bättre skydd mot rovdjur och rovfåglar än ren lövskog. (SLU Artdatabanken, 2021).</w:t>
      </w:r>
    </w:p>
    <w:p>
      <w:r>
        <w:t>Arten har stora revir och höga krav när det gäller förekomst av lövskog på landskapsnivå. För att häcka framgångsrikt behöver ett par cirka 40 ha äldre lövdominerad skog inom ett område på upp till 200 ha. Under vintern utsträcks födosöket till ett större område på flera hundra hektar, men varje individ återvänder till samma natthål kväll efter kväll. Arten häckar i murkna lövträdsstammar eller stubbar (oftast klibbal eller björk), vanligen 3–7 meter över marken. Ett nytt bohål hackas ut varje vår (Skogsstyrelsen, 2016 &amp; SLU Artdatabanken, 2021).</w:t>
      </w:r>
    </w:p>
    <w:p>
      <w:r>
        <w:t>Den mindre hackspetten missgynnas av gallring i löv- och blandskogar, om lövträd tas bort. Vidare så missgynnas arten starkt genom avverkning av äldre lövträd, dränering och avverkning av al- och björkkärr, röjning eller gallring av täta strandskogar, alkärr samt borttagande av murkna träd och grenar. Nedhuggning av äldre hagmarksbjörkar och alar är också negativt. Arten hotas dessutom av biobränsleuttag i gamla inägomarker och andra lövskogar (Skogsstyrelsen, 2016 &amp; SLU Artdatabanken, 2021).</w:t>
      </w:r>
    </w:p>
    <w:p>
      <w:pPr>
        <w:pStyle w:val="Heading2"/>
      </w:pPr>
      <w:r>
        <w:t>Referenser – mindre hackspett</w:t>
      </w:r>
    </w:p>
    <w:p>
      <w:r>
        <w:t xml:space="preserve">Skogsstyrelsen, 2016. </w:t>
      </w:r>
      <w:r>
        <w:rPr>
          <w:i/>
        </w:rPr>
        <w:t xml:space="preserve">Vägledning för hänsyn till mindre hackspett. </w:t>
      </w:r>
      <w:r>
        <w:t>https://www.skogsstyrelsen.se/globalassets/lag-och-tillsyn/artskydd/vagledningar-for-hansyn-till-faglar/mindre-hackspett-vagledning-hansyn2.pdf</w:t>
      </w:r>
    </w:p>
    <w:p>
      <w:r>
        <w:t xml:space="preserve">SLU Artdatabanken, 2021. </w:t>
      </w:r>
      <w:r>
        <w:rPr>
          <w:i/>
        </w:rPr>
        <w:t xml:space="preserve">Artfaktablad. Naturvård – artfakta. </w:t>
      </w:r>
      <w:r>
        <w:t>SLU Artdatabanken, Uppsala</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