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som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ask (EN), tofsvipa (VU, §4), gullklöver (NT), gulsparv (NT, §4), jungfrulin (NT), klasefibbla (NT), skrattmås (NT, §4), svinrot (NT), vanlig backsmörblomma (NT), blåsippa (T, §9), vitsippa (T), gröngöling (§4), vanlig snok (§6) och gullviva (§9).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2"/>
      </w:pPr>
      <w:r>
        <w:t>Fridlysta arter</w:t>
      </w:r>
    </w:p>
    <w:p>
      <w:r>
        <w:t>Följande fridlysta arter har sina livsmiljöer och växtplatser i den avverkningsanmälda skogen: tofsvipa (VU, §4), gulsparv (NT, §4), skrattmås (NT, §4), blåsippa (T, §9), gröngöling (§4),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