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20124-2022 i Gnesta kommun</w:t>
      </w:r>
    </w:p>
    <w:p>
      <w:r>
        <w:t>Detta klagomål behandlar höga naturvärden i avverkningsanmälan A 20124-2022 i Gnesta kommun som inkom 2022-05-17 och omfattar 6,2 ha.</w:t>
      </w:r>
    </w:p>
    <w:p>
      <w:pPr>
        <w:pStyle w:val="Caption"/>
      </w:pPr>
      <w:r>
        <w:drawing>
          <wp:inline xmlns:a="http://schemas.openxmlformats.org/drawingml/2006/main" xmlns:pic="http://schemas.openxmlformats.org/drawingml/2006/picture">
            <wp:extent cx="5486400" cy="5603292"/>
            <wp:docPr id="1" name="Picture 1"/>
            <wp:cNvGraphicFramePr>
              <a:graphicFrameLocks noChangeAspect="1"/>
            </wp:cNvGraphicFramePr>
            <a:graphic>
              <a:graphicData uri="http://schemas.openxmlformats.org/drawingml/2006/picture">
                <pic:pic>
                  <pic:nvPicPr>
                    <pic:cNvPr id="0" name="A 20124-2022 karta.png"/>
                    <pic:cNvPicPr/>
                  </pic:nvPicPr>
                  <pic:blipFill>
                    <a:blip r:embed="rId16"/>
                    <a:stretch>
                      <a:fillRect/>
                    </a:stretch>
                  </pic:blipFill>
                  <pic:spPr>
                    <a:xfrm>
                      <a:off x="0" y="0"/>
                      <a:ext cx="5486400" cy="560329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6555610, E 632577 i SWEREF 99 TM.</w:t>
      </w:r>
    </w:p>
    <w:p>
      <w:r>
        <w:t>I och inom 25 meter från avverkningsanmälan finns fynd av 6 naturvårdsarter, varav 5 är rödlistade, 1 är fridlyst och 4 är typiska (T): dropptaggsvamp (NT, T), motaggsvamp (NT, T), orange taggsvamp (NT, T), skogshare (NT), tallticka (NT, T)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