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15285-2022 i Gnesta kommun</w:t>
      </w:r>
    </w:p>
    <w:p>
      <w:r>
        <w:t>Denna tillsynsbegäran behandlar höga naturvärden i avverkningsanmälan A 15285-2022 i Gnesta kommun som inkom 2022-04-08 och omfattar 26,0 ha.</w:t>
      </w:r>
    </w:p>
    <w:p>
      <w:pPr>
        <w:pStyle w:val="Caption"/>
      </w:pPr>
      <w:r>
        <w:drawing>
          <wp:inline xmlns:a="http://schemas.openxmlformats.org/drawingml/2006/main" xmlns:pic="http://schemas.openxmlformats.org/drawingml/2006/picture">
            <wp:extent cx="5390563" cy="5724000"/>
            <wp:docPr id="1" name="Picture 1"/>
            <wp:cNvGraphicFramePr>
              <a:graphicFrameLocks noChangeAspect="1"/>
            </wp:cNvGraphicFramePr>
            <a:graphic>
              <a:graphicData uri="http://schemas.openxmlformats.org/drawingml/2006/picture">
                <pic:pic>
                  <pic:nvPicPr>
                    <pic:cNvPr id="0" name="A 15285-2022 karta.png"/>
                    <pic:cNvPicPr/>
                  </pic:nvPicPr>
                  <pic:blipFill>
                    <a:blip r:embed="rId16"/>
                    <a:stretch>
                      <a:fillRect/>
                    </a:stretch>
                  </pic:blipFill>
                  <pic:spPr>
                    <a:xfrm>
                      <a:off x="0" y="0"/>
                      <a:ext cx="5390563"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6539366, E 630952 i SWEREF 99 TM.</w:t>
      </w:r>
    </w:p>
    <w:p>
      <w:r>
        <w:t>I och inom 22 meter från avverkningsanmälan finns fynd av 18 naturvårdsarter, varav 10 är rödlistade, 2 är fridlysta, 11 är typiska (T) och 8 är signalarter (S): dofttaggsvamp (NT, T), gropticka (NT, T), kandelabersvamp (NT, T), kötticka (NT), motaggsvamp (NT, T), platt spretmossa (NT, T), skarp dropptaggsvamp (NT), tallticka (NT, T), talltita (NT, §4), ullticka (NT, T), blomkålssvamp (S), bronshjon (S, T), grön sköldmossa (S, T, §8), kornknutmossa (S, T), mandelriska (S), svavelriska (S), trådticka (S, T) och vågbandad barkbock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Gropticka är typisk art för </w:t>
      </w:r>
      <w:r>
        <w:rPr>
          <w:i/>
        </w:rPr>
        <w:t>9010 Taiga</w:t>
      </w:r>
      <w:r>
        <w:t xml:space="preserve"> (SLU Artdatabanken, 2024; Nitare &amp; Skogsstyrelsen, 2019).</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Platt spretmossa (NT)</w:t>
      </w:r>
      <w:r>
        <w:t xml:space="preserve"> omfattas av EU:s art- och habitatdirektiv där dess bevarandestatus är otillfredsställande med negativ trend. Arten växer på murken ved eller på torvrik jord på fuktiga eller mycket fuktiga och skuggiga platser, ofta i al- och gransumpskogar med periodvis översvämning, eller utmed vattendrag. Den hotas av uthuggning, torrläggning och avverkning av sumpskogar. Platt spretmossa är rödlistad som nära hotad (NT) i den europeiska rödlistan och typisk art för </w:t>
      </w:r>
      <w:r>
        <w:rPr>
          <w:i/>
        </w:rPr>
        <w:t xml:space="preserve">9080 Lövsumpskog </w:t>
      </w:r>
      <w:r>
        <w:t xml:space="preserve">och </w:t>
      </w:r>
      <w:r>
        <w:rPr>
          <w:i/>
        </w:rPr>
        <w:t>9750 Svämlövskog</w:t>
      </w:r>
      <w:r>
        <w:t xml:space="preserve"> (SLU Artdatabanken, 2024; IUCN,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dofttaggsvamp (NT, T), gropticka (NT, T), kandelabersvamp (NT, T), motaggsvamp (NT, T), platt spretmossa (NT, T), tallticka (NT, T), ullticka (NT, T), bronshjon (S, T), grön sköldmossa (S, T, §8), kornknutmossa (S, T) och trådticka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