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49248-2025 i Gnesta kommun</w:t>
      </w:r>
    </w:p>
    <w:p>
      <w:r>
        <w:t>Detta klagomål behandlar höga naturvärden i avverkningsanmälan A 49248-2025 i Gnesta kommun som inkom 2025-10-08 och omfattar 1,3 ha.</w:t>
      </w:r>
    </w:p>
    <w:p>
      <w:pPr>
        <w:pStyle w:val="Caption"/>
      </w:pPr>
      <w:r>
        <w:drawing>
          <wp:inline xmlns:a="http://schemas.openxmlformats.org/drawingml/2006/main" xmlns:pic="http://schemas.openxmlformats.org/drawingml/2006/picture">
            <wp:extent cx="5486400" cy="5482632"/>
            <wp:docPr id="1" name="Picture 1"/>
            <wp:cNvGraphicFramePr>
              <a:graphicFrameLocks noChangeAspect="1"/>
            </wp:cNvGraphicFramePr>
            <a:graphic>
              <a:graphicData uri="http://schemas.openxmlformats.org/drawingml/2006/picture">
                <pic:pic>
                  <pic:nvPicPr>
                    <pic:cNvPr id="0" name="A 49248-2025 karta.png"/>
                    <pic:cNvPicPr/>
                  </pic:nvPicPr>
                  <pic:blipFill>
                    <a:blip r:embed="rId16"/>
                    <a:stretch>
                      <a:fillRect/>
                    </a:stretch>
                  </pic:blipFill>
                  <pic:spPr>
                    <a:xfrm>
                      <a:off x="0" y="0"/>
                      <a:ext cx="5486400" cy="548263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6557234, E 621303 i SWEREF 99 TM.</w:t>
      </w:r>
    </w:p>
    <w:p>
      <w:r>
        <w:t>I och inom 22 meter från avverkningsanmälan finns fynd av 6 naturvårdsarter, varav 3 är rödlistade, 4 är typiska (T) och 3 är signalarter (S): motaggsvamp (NT, T), ullticka (NT, T), vedskivlav (NT, T), björksplintborre (S), blomkålssvamp (S) och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