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68341-2021 i Gnesta kommun</w:t>
      </w:r>
    </w:p>
    <w:p>
      <w:r>
        <w:t>Detta klagomål behandlar höga naturvärden i avverkningsanmälan A 68341-2021 i Gnesta kommun som inkom 2021-11-28 och omfattar 1,1 ha.</w:t>
      </w:r>
    </w:p>
    <w:p>
      <w:pPr>
        <w:pStyle w:val="Caption"/>
      </w:pPr>
      <w:r>
        <w:drawing>
          <wp:inline xmlns:a="http://schemas.openxmlformats.org/drawingml/2006/main" xmlns:pic="http://schemas.openxmlformats.org/drawingml/2006/picture">
            <wp:extent cx="5486400" cy="4788669"/>
            <wp:docPr id="1" name="Picture 1"/>
            <wp:cNvGraphicFramePr>
              <a:graphicFrameLocks noChangeAspect="1"/>
            </wp:cNvGraphicFramePr>
            <a:graphic>
              <a:graphicData uri="http://schemas.openxmlformats.org/drawingml/2006/picture">
                <pic:pic>
                  <pic:nvPicPr>
                    <pic:cNvPr id="0" name="A 68341-2021 karta.png"/>
                    <pic:cNvPicPr/>
                  </pic:nvPicPr>
                  <pic:blipFill>
                    <a:blip r:embed="rId16"/>
                    <a:stretch>
                      <a:fillRect/>
                    </a:stretch>
                  </pic:blipFill>
                  <pic:spPr>
                    <a:xfrm>
                      <a:off x="0" y="0"/>
                      <a:ext cx="5486400" cy="4788669"/>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6541169, E 624409 i SWEREF 99 TM.</w:t>
      </w:r>
    </w:p>
    <w:p>
      <w:r>
        <w:t>I och inom 21 meter från avverkningsanmälan finns fynd av 9 naturvårdsarter, varav 4 är rödlistade, 2 är fridlysta, 2 är typiska (T) och 3 är signalarter (S): koppartaggsvamp (EN), fjällig taggsvamp s.str. (NT), persiljespindling (NT), puderspindling (NT), diskvaxskivling (S), skogshakmossa (S, T), toppvaxing (S), blåsippa (T, §9) och havsörn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Koppartaggsvamp (EN) </w:t>
      </w:r>
      <w:r>
        <w:t>är en starkt hotad svamp som bildar mykorrhiza med gran i örtrik äldre granskog på kalkrik mark. Arten är en mycket bra indikator på skyddsvärda kalkgranskogar och påfallande ofta växer den tillsammans med raggtaggsvamp (EN). Koppartaggsvamp ingår i ett åtgärdsprogram för hotade arter (ÅGP) och dess långsiktiga överlevnad säkras genom att växtplatserna undantas från avverkning. Den totala populationen i landet har minskat kraftigt och minskningstakten, som uppgår till 50 (30–70) % inom 50 år, överstiger gränsvärdet för starkt hotad (EN) (SLU Artdatabanken, 2026; Nitare &amp; Skogsstyrelsen, 2019; Nitare, 2006).</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Persiljespindling (NT)</w:t>
      </w:r>
      <w:r>
        <w:t xml:space="preserve"> bildar mykorrhiza med tall, gran och bok i ängsgranskog, kalktallskog och i ängsbokskog på rikare mark. Minskningstakten uppgår till 15 % inom 50 år och bedöms vara nära gränsvärdet för Sårbar (VU). (A2c+3c+4c). Persiljespindlingen hotas av avverkningar och är särskilt känslig eftersom den är knuten till äldre, produktiv barrskog, d.v.s. en skogstyp som är en bristvara i skyddade områden i Sverige och som samtidigt försvinner i snabb takt genom slutavverkningar. Skyddet för äldre ört- och kalkrika barrskogar med trädkontinuitet måste öka och oskyddade bokskogar med persiljespindling måste få ett formellt skydd i form av biotopskydd eller naturreservat (SLU Artdatabanken, 2024).</w:t>
      </w:r>
    </w:p>
    <w:p>
      <w:r>
        <w:rPr>
          <w:b/>
        </w:rPr>
        <w:t xml:space="preserve">Puderspindling (NT) </w:t>
      </w:r>
      <w:r>
        <w:t>bildar mykorrhiza med gran och växer i äldre ängsgranskog på kalkrik mark. Påträffas ofta i myrstackar. Storskaligt skogsbruk med kalavverkning och markberedning eller kraftig gallring är det främsta hotet mot arten. På sikt är det ett problem att skogar av denna typ, med stort inslag av äldre träd inte nybildas. Ett fullständigt skydd för artens lokaler bör övervägas. Där avverkning ändå tillåts måste den ske försiktigt så att kontinuiteten i trädskiktet inte bryts. Ett tillräckligt antal äldre träd måste finnas kvar i beståndet. Det är önskvärt med stor naturvårdshänsyn i alla områden med äldre granskog på näringsrik mark oavsett om dess flora är känd eller ej (SLU Artdatabanken, 2025).</w:t>
      </w:r>
    </w:p>
    <w:p>
      <w:r>
        <w:rPr>
          <w:b/>
        </w:rPr>
        <w:t>Skogshakmossa</w:t>
      </w:r>
      <w:r>
        <w:t xml:space="preserve"> indikerar lokaler som ofta har en artrik mossflora som kräver jämn och hög markfuktighet, till exempel olika sumpskogar med höga naturvärden. Högst signalvärde har arten i södra och mellersta Sverige. Skogshakmossa är typisk art för </w:t>
      </w:r>
      <w:r>
        <w:rPr>
          <w:i/>
        </w:rPr>
        <w:t xml:space="preserve">9010 Taiga, 9050 Näringsrik granskog, 9080 Lövsumpskog </w:t>
      </w:r>
      <w:r>
        <w:t xml:space="preserve">och </w:t>
      </w:r>
      <w:r>
        <w:rPr>
          <w:i/>
        </w:rPr>
        <w:t xml:space="preserve">9750 Svämlövskog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